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592" w:firstLineChars="200"/>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酸价</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00" w:lineRule="exact"/>
        <w:ind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酸价主要反映食品中的油脂酸败程度。酸价超标会导致食品有哈喇味。酸价超标的原因，可能与企业原料采购把关不严、生产工艺不当、产品储藏条件不当等有关，特别是存贮温度较高时易导致食品中的脂肪氧化酸败致使酸价超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三、铝的残留量</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cs="黑体"/>
          <w:sz w:val="32"/>
          <w:szCs w:val="32"/>
          <w:lang w:eastAsia="zh-CN"/>
        </w:rPr>
        <w:t>菌落总数</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592" w:firstLineChars="200"/>
        <w:textAlignment w:val="auto"/>
        <w:rPr>
          <w:rFonts w:ascii="黑体" w:hAnsi="黑体" w:eastAsia="黑体"/>
          <w:sz w:val="32"/>
          <w:szCs w:val="32"/>
        </w:rPr>
      </w:pPr>
      <w:r>
        <w:rPr>
          <w:rFonts w:hint="eastAsia" w:ascii="Times New Roman" w:hAnsi="黑体" w:eastAsia="黑体"/>
          <w:spacing w:val="-12"/>
          <w:sz w:val="32"/>
          <w:szCs w:val="32"/>
          <w:lang w:val="en-US" w:eastAsia="zh-CN"/>
        </w:rPr>
        <w:t>五</w:t>
      </w:r>
      <w:r>
        <w:rPr>
          <w:rFonts w:ascii="Times New Roman" w:hAnsi="黑体" w:eastAsia="黑体"/>
          <w:spacing w:val="-12"/>
          <w:sz w:val="32"/>
          <w:szCs w:val="32"/>
        </w:rPr>
        <w:t>、</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腐霉利是一种低毒内吸性杀菌剂，具有保护和治疗双重作用。腐霉利超标的主要原因可能是种植过程中为控制病虫害超量使用或不遵循安全间隔期规定。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Times New Roman" w:hAnsi="Times New Roman" w:eastAsia="仿宋_GB2312"/>
          <w:kern w:val="2"/>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w:t>
      </w:r>
      <w:r>
        <w:rPr>
          <w:rFonts w:hint="eastAsia" w:ascii="Times New Roman" w:hAnsi="Times New Roman" w:eastAsia="仿宋_GB2312" w:cs="Times New Roman"/>
          <w:sz w:val="32"/>
          <w:szCs w:val="32"/>
          <w:lang w:eastAsia="zh-CN"/>
        </w:rPr>
        <w:t>兽药</w:t>
      </w:r>
      <w:r>
        <w:rPr>
          <w:rFonts w:hint="eastAsia" w:ascii="Times New Roman" w:hAnsi="Times New Roman" w:eastAsia="仿宋_GB2312" w:cs="Times New Roman"/>
          <w:sz w:val="32"/>
          <w:szCs w:val="32"/>
          <w:lang w:val="en-US" w:eastAsia="zh-CN"/>
        </w:rPr>
        <w:t>地方标准废止目录</w:t>
      </w:r>
      <w:r>
        <w:rPr>
          <w:rFonts w:ascii="Times New Roman" w:hAnsi="Times New Roman" w:eastAsia="仿宋_GB2312" w:cs="Times New Roman"/>
          <w:sz w:val="32"/>
          <w:szCs w:val="32"/>
        </w:rPr>
        <w:t>》（农业部公告第</w:t>
      </w:r>
      <w:r>
        <w:rPr>
          <w:rFonts w:hint="eastAsia" w:ascii="Times New Roman" w:hAnsi="Times New Roman" w:eastAsia="仿宋_GB2312" w:cs="Times New Roman"/>
          <w:sz w:val="32"/>
          <w:szCs w:val="32"/>
          <w:lang w:val="en-US" w:eastAsia="zh-CN"/>
        </w:rPr>
        <w:t>560</w:t>
      </w:r>
      <w:r>
        <w:rPr>
          <w:rFonts w:ascii="Times New Roman" w:hAnsi="Times New Roman" w:eastAsia="仿宋_GB2312" w:cs="Times New Roman"/>
          <w:sz w:val="32"/>
          <w:szCs w:val="32"/>
        </w:rPr>
        <w:t>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为禁止使用的药物，在动物性食品中不得检出。</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592" w:firstLineChars="200"/>
        <w:jc w:val="left"/>
        <w:textAlignment w:val="auto"/>
        <w:rPr>
          <w:rFonts w:ascii="黑体" w:hAnsi="黑体" w:eastAsia="黑体"/>
          <w:sz w:val="32"/>
          <w:szCs w:val="32"/>
        </w:rPr>
      </w:pPr>
      <w:r>
        <w:rPr>
          <w:rFonts w:hint="eastAsia" w:ascii="黑体" w:hAnsi="黑体" w:eastAsia="黑体"/>
          <w:spacing w:val="-12"/>
          <w:sz w:val="32"/>
          <w:szCs w:val="32"/>
          <w:lang w:val="en-US" w:eastAsia="zh-CN"/>
        </w:rPr>
        <w:t>七</w:t>
      </w:r>
      <w:r>
        <w:rPr>
          <w:rFonts w:hint="eastAsia" w:ascii="黑体" w:hAnsi="黑体" w:eastAsia="黑体"/>
          <w:spacing w:val="-12"/>
          <w:sz w:val="32"/>
          <w:szCs w:val="32"/>
        </w:rPr>
        <w:t>、</w:t>
      </w:r>
      <w:r>
        <w:rPr>
          <w:rFonts w:hint="eastAsia" w:ascii="黑体" w:hAnsi="黑体" w:eastAsia="黑体"/>
          <w:sz w:val="32"/>
          <w:szCs w:val="32"/>
        </w:rPr>
        <w:t>霉菌</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霉菌是常见的真菌，在自然界中广泛存在。受霉菌污染后会使产品腐败变质，破坏产品的色、香、味，降低其食用价值。霉菌超标</w:t>
      </w:r>
      <w:r>
        <w:rPr>
          <w:rFonts w:hint="eastAsia" w:ascii="Times New Roman" w:hAnsi="Times New Roman" w:eastAsia="仿宋_GB2312"/>
          <w:sz w:val="32"/>
          <w:szCs w:val="32"/>
        </w:rPr>
        <w:t>的</w:t>
      </w:r>
      <w:r>
        <w:rPr>
          <w:rFonts w:ascii="Times New Roman" w:hAnsi="Times New Roman" w:eastAsia="仿宋_GB2312"/>
          <w:sz w:val="32"/>
          <w:szCs w:val="32"/>
        </w:rPr>
        <w:t>原因，可能是原料或包装材料受到霉菌污染，产品在生产加工过程中卫生条件控制不到位</w:t>
      </w:r>
      <w:r>
        <w:rPr>
          <w:rFonts w:hint="eastAsia" w:ascii="Times New Roman" w:hAnsi="Times New Roman" w:eastAsia="仿宋_GB2312"/>
          <w:sz w:val="32"/>
          <w:szCs w:val="32"/>
        </w:rPr>
        <w:t>；</w:t>
      </w:r>
      <w:r>
        <w:rPr>
          <w:rFonts w:ascii="Times New Roman" w:hAnsi="Times New Roman" w:eastAsia="仿宋_GB2312"/>
          <w:sz w:val="32"/>
          <w:szCs w:val="32"/>
        </w:rPr>
        <w:t>还有可能</w:t>
      </w:r>
      <w:r>
        <w:rPr>
          <w:rFonts w:hint="eastAsia" w:ascii="Times New Roman" w:hAnsi="Times New Roman" w:eastAsia="仿宋_GB2312"/>
          <w:sz w:val="32"/>
          <w:szCs w:val="32"/>
        </w:rPr>
        <w:t>与</w:t>
      </w:r>
      <w:r>
        <w:rPr>
          <w:rFonts w:ascii="Times New Roman" w:hAnsi="Times New Roman" w:eastAsia="仿宋_GB2312"/>
          <w:sz w:val="32"/>
          <w:szCs w:val="32"/>
        </w:rPr>
        <w:t>生产工器具等设备设施清洗消毒不到位或产品储运条件不当</w:t>
      </w:r>
      <w:r>
        <w:rPr>
          <w:rFonts w:hint="eastAsia" w:ascii="Times New Roman" w:hAnsi="Times New Roman" w:eastAsia="仿宋_GB2312"/>
          <w:sz w:val="32"/>
          <w:szCs w:val="32"/>
        </w:rPr>
        <w:t>等有关</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textAlignment w:val="auto"/>
        <w:rPr>
          <w:rFonts w:ascii="黑体" w:hAnsi="黑体" w:eastAsia="黑体"/>
          <w:sz w:val="32"/>
          <w:szCs w:val="32"/>
        </w:rPr>
      </w:pPr>
      <w:bookmarkStart w:id="0" w:name="_Toc30283"/>
      <w:bookmarkStart w:id="1" w:name="_Toc14504"/>
      <w:r>
        <w:rPr>
          <w:rFonts w:hint="eastAsia" w:ascii="黑体" w:hAnsi="黑体" w:eastAsia="黑体"/>
          <w:sz w:val="32"/>
          <w:szCs w:val="32"/>
          <w:lang w:val="en-US" w:eastAsia="zh-CN"/>
        </w:rPr>
        <w:t>八</w:t>
      </w:r>
      <w:r>
        <w:rPr>
          <w:rFonts w:ascii="黑体" w:hAnsi="黑体" w:eastAsia="黑体"/>
          <w:sz w:val="32"/>
          <w:szCs w:val="32"/>
        </w:rPr>
        <w:t>、氧乐果</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firstLine="640" w:firstLineChars="200"/>
        <w:textAlignment w:val="auto"/>
        <w:rPr>
          <w:rFonts w:hint="eastAsia"/>
          <w:lang w:eastAsia="zh-CN"/>
        </w:rPr>
      </w:pPr>
      <w:r>
        <w:rPr>
          <w:rFonts w:ascii="Times New Roman" w:hAnsi="Times New Roman" w:eastAsia="仿宋_GB2312"/>
          <w:sz w:val="32"/>
          <w:szCs w:val="32"/>
        </w:rPr>
        <w:t>氧乐果是一种有机磷杀虫、杀螨剂，其作用机制为抑制昆虫胆碱酯酶。</w:t>
      </w:r>
      <w:bookmarkEnd w:id="0"/>
      <w:bookmarkEnd w:id="1"/>
      <w:r>
        <w:rPr>
          <w:rFonts w:ascii="Times New Roman" w:hAnsi="Times New Roman" w:eastAsia="仿宋_GB2312"/>
          <w:sz w:val="32"/>
          <w:szCs w:val="32"/>
        </w:rPr>
        <w:t>氧乐果</w:t>
      </w:r>
      <w:r>
        <w:rPr>
          <w:rFonts w:hint="eastAsia" w:ascii="Times New Roman" w:hAnsi="Times New Roman" w:eastAsia="仿宋_GB2312"/>
          <w:sz w:val="32"/>
          <w:szCs w:val="32"/>
          <w:lang w:val="en-US" w:eastAsia="zh-CN"/>
        </w:rPr>
        <w:t>不合格的原因可能是</w:t>
      </w:r>
      <w:r>
        <w:rPr>
          <w:rFonts w:hint="eastAsia" w:ascii="Times New Roman" w:hAnsi="Times New Roman" w:eastAsia="仿宋_GB2312"/>
          <w:sz w:val="32"/>
          <w:szCs w:val="32"/>
        </w:rPr>
        <w:t>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92" w:firstLineChars="200"/>
        <w:jc w:val="left"/>
        <w:textAlignment w:val="auto"/>
        <w:rPr>
          <w:rFonts w:ascii="黑体" w:hAnsi="黑体" w:eastAsia="黑体"/>
          <w:sz w:val="32"/>
          <w:szCs w:val="32"/>
        </w:rPr>
      </w:pPr>
      <w:r>
        <w:rPr>
          <w:rFonts w:hint="eastAsia" w:ascii="Times New Roman" w:hAnsi="黑体" w:eastAsia="黑体"/>
          <w:spacing w:val="-12"/>
          <w:sz w:val="32"/>
          <w:szCs w:val="32"/>
          <w:lang w:val="en-US" w:eastAsia="zh-CN"/>
        </w:rPr>
        <w:t>九</w:t>
      </w:r>
      <w:r>
        <w:rPr>
          <w:rFonts w:hint="eastAsia" w:ascii="黑体" w:hAnsi="黑体" w:eastAsia="黑体"/>
          <w:sz w:val="32"/>
          <w:szCs w:val="32"/>
        </w:rPr>
        <w:t>、大肠菌群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lang w:eastAsia="zh-CN"/>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lang w:eastAsia="zh-CN"/>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lang w:val="en-US" w:eastAsia="zh-CN"/>
        </w:rPr>
        <w:t>清洗、消毒不彻底，或存放过程中受到污染等</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snapToGrid/>
        <w:spacing w:beforeAutospacing="0" w:afterAutospacing="0" w:line="400" w:lineRule="exact"/>
        <w:ind w:firstLine="640" w:firstLineChars="200"/>
        <w:jc w:val="left"/>
        <w:textAlignment w:val="auto"/>
        <w:rPr>
          <w:rFonts w:ascii="Times New Roman" w:hAnsi="Times New Roman" w:eastAsia="仿宋_GB2312"/>
          <w:sz w:val="32"/>
          <w:szCs w:val="32"/>
        </w:rPr>
      </w:pPr>
      <w:r>
        <w:rPr>
          <w:rFonts w:hint="eastAsia" w:ascii="黑体" w:hAnsi="黑体" w:eastAsia="黑体"/>
          <w:sz w:val="32"/>
          <w:szCs w:val="32"/>
          <w:lang w:eastAsia="zh-CN"/>
        </w:rPr>
        <w:t>十</w:t>
      </w:r>
      <w:r>
        <w:rPr>
          <w:rFonts w:hint="eastAsia" w:ascii="黑体" w:hAnsi="黑体" w:eastAsia="黑体"/>
          <w:sz w:val="32"/>
          <w:szCs w:val="32"/>
        </w:rPr>
        <w:t>、诺氟沙星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诺氟沙星是氟喹诺酮类抗菌药，具有广谱抗菌作用，对革兰氏阳性菌、阴性菌均有较强的抗菌作用。诺氟沙星可通过抑制细菌DNA旋转酶，干扰细菌DNA的复制、转录和修复重组，致使细菌不能正常生长繁殖而死亡。蜂蜜中检出诺氟沙星的原因，可能是诺氟沙星作为蜂药被用于蜜蜂养殖。</w:t>
      </w:r>
    </w:p>
    <w:p>
      <w:pPr>
        <w:keepNext w:val="0"/>
        <w:keepLines w:val="0"/>
        <w:pageBreakBefore w:val="0"/>
        <w:kinsoku/>
        <w:wordWrap/>
        <w:overflowPunct/>
        <w:topLinePunct w:val="0"/>
        <w:autoSpaceDE/>
        <w:autoSpaceDN/>
        <w:bidi w:val="0"/>
        <w:snapToGrid/>
        <w:spacing w:beforeAutospacing="0" w:afterAutospacing="0" w:line="40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十一、维生素A</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维生素A是一种极其重要、极易缺乏的，维持人体正常代谢和机能所必需的脂溶性维生素。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 婴幼儿谷类辅助食品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GB 10769-2010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中规定，维生素A含量应在</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μgRE/100kJ～</w:t>
      </w:r>
      <w:r>
        <w:rPr>
          <w:rFonts w:hint="eastAsia" w:ascii="Times New Roman" w:hAnsi="Times New Roman" w:eastAsia="仿宋_GB2312"/>
          <w:sz w:val="32"/>
          <w:szCs w:val="32"/>
          <w:lang w:val="en-US" w:eastAsia="zh-CN"/>
        </w:rPr>
        <w:t>43</w:t>
      </w:r>
      <w:r>
        <w:rPr>
          <w:rFonts w:hint="eastAsia" w:ascii="Times New Roman" w:hAnsi="Times New Roman" w:eastAsia="仿宋_GB2312"/>
          <w:sz w:val="32"/>
          <w:szCs w:val="32"/>
        </w:rPr>
        <w:t>μgRE/100kJ范围内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维生素A不达标的原因，可能是生产企业未按照产品标签标示值添加该营养素，或者生产企业所使用的原料质量不达标。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640" w:firstLineChars="200"/>
        <w:jc w:val="left"/>
        <w:textAlignment w:val="auto"/>
        <w:rPr>
          <w:rFonts w:ascii="Times New Roman" w:hAnsi="Times New Roman" w:eastAsia="黑体"/>
          <w:spacing w:val="-12"/>
          <w:sz w:val="32"/>
          <w:szCs w:val="32"/>
        </w:rPr>
      </w:pPr>
      <w:r>
        <w:rPr>
          <w:rFonts w:hint="eastAsia" w:ascii="仿宋" w:hAnsi="仿宋" w:eastAsia="仿宋" w:cs="仿宋"/>
          <w:kern w:val="0"/>
          <w:sz w:val="32"/>
          <w:szCs w:val="32"/>
          <w:lang w:val="en-US" w:eastAsia="zh-CN"/>
        </w:rPr>
        <w:t xml:space="preserve"> </w:t>
      </w:r>
      <w:r>
        <w:rPr>
          <w:rFonts w:hint="eastAsia" w:ascii="Times New Roman" w:hAnsi="Times New Roman" w:eastAsia="黑体"/>
          <w:spacing w:val="-12"/>
          <w:sz w:val="32"/>
          <w:szCs w:val="32"/>
          <w:lang w:eastAsia="zh-CN"/>
        </w:rPr>
        <w:t>十二</w:t>
      </w:r>
      <w:r>
        <w:rPr>
          <w:rFonts w:hint="eastAsia" w:ascii="Times New Roman" w:hAnsi="Times New Roman" w:eastAsia="黑体"/>
          <w:spacing w:val="-12"/>
          <w:sz w:val="32"/>
          <w:szCs w:val="32"/>
        </w:rPr>
        <w:t>、</w:t>
      </w:r>
      <w:r>
        <w:rPr>
          <w:rFonts w:hint="eastAsia" w:ascii="黑体" w:hAnsi="黑体" w:eastAsia="黑体"/>
          <w:spacing w:val="-12"/>
          <w:sz w:val="32"/>
          <w:szCs w:val="32"/>
        </w:rPr>
        <w:t>氨基酸态氮</w:t>
      </w:r>
    </w:p>
    <w:p>
      <w:pPr>
        <w:pStyle w:val="6"/>
        <w:keepNext w:val="0"/>
        <w:keepLines w:val="0"/>
        <w:pageBreakBefore w:val="0"/>
        <w:widowControl/>
        <w:kinsoku/>
        <w:wordWrap/>
        <w:overflowPunct/>
        <w:topLinePunct w:val="0"/>
        <w:autoSpaceDE/>
        <w:autoSpaceDN/>
        <w:bidi w:val="0"/>
        <w:adjustRightInd w:val="0"/>
        <w:snapToGrid/>
        <w:spacing w:before="0" w:beforeAutospacing="0" w:after="0" w:afterAutospacing="0" w:line="40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氨基酸态氮是酱油的特征性品质指标之一。</w:t>
      </w:r>
      <w:r>
        <w:rPr>
          <w:rFonts w:hint="eastAsia" w:ascii="Times New Roman" w:hAnsi="Times New Roman" w:eastAsia="仿宋_GB2312"/>
          <w:sz w:val="32"/>
          <w:szCs w:val="32"/>
          <w:lang w:eastAsia="zh-CN"/>
        </w:rPr>
        <w:t>该指标不达标的</w:t>
      </w:r>
      <w:r>
        <w:rPr>
          <w:rFonts w:ascii="Times New Roman" w:hAnsi="Times New Roman" w:eastAsia="仿宋_GB2312"/>
          <w:kern w:val="2"/>
          <w:sz w:val="32"/>
          <w:szCs w:val="32"/>
        </w:rPr>
        <w:t>原因可能是产品生产工艺不符合标准要求，未达到要求发酵的时间</w:t>
      </w:r>
      <w:r>
        <w:rPr>
          <w:rFonts w:hint="eastAsia" w:ascii="Times New Roman" w:hAnsi="Times New Roman" w:eastAsia="仿宋_GB2312"/>
          <w:kern w:val="2"/>
          <w:sz w:val="32"/>
          <w:szCs w:val="32"/>
        </w:rPr>
        <w:t>；或者是</w:t>
      </w:r>
      <w:r>
        <w:rPr>
          <w:rFonts w:ascii="Times New Roman" w:hAnsi="Times New Roman" w:eastAsia="仿宋_GB2312"/>
          <w:kern w:val="2"/>
          <w:sz w:val="32"/>
          <w:szCs w:val="32"/>
        </w:rPr>
        <w:t>产品配方缺陷</w:t>
      </w:r>
      <w:r>
        <w:rPr>
          <w:rFonts w:hint="eastAsia" w:ascii="Times New Roman" w:hAnsi="Times New Roman" w:eastAsia="仿宋_GB2312"/>
          <w:kern w:val="2"/>
          <w:sz w:val="32"/>
          <w:szCs w:val="32"/>
        </w:rPr>
        <w:t>的问题</w:t>
      </w:r>
      <w:r>
        <w:rPr>
          <w:rFonts w:ascii="Times New Roman" w:hAnsi="Times New Roman" w:eastAsia="仿宋_GB2312"/>
          <w:kern w:val="2"/>
          <w:sz w:val="32"/>
          <w:szCs w:val="32"/>
        </w:rPr>
        <w:t>；也可能是酿造酱油产品本身等级较低，企业为增加销量违规标注高等级</w:t>
      </w:r>
      <w:r>
        <w:rPr>
          <w:rFonts w:hint="eastAsia" w:ascii="Times New Roman" w:hAnsi="Times New Roman" w:eastAsia="仿宋_GB2312"/>
          <w:kern w:val="2"/>
          <w:sz w:val="32"/>
          <w:szCs w:val="32"/>
        </w:rPr>
        <w:t>的问题</w:t>
      </w:r>
      <w:r>
        <w:rPr>
          <w:rFonts w:ascii="Times New Roman" w:hAnsi="Times New Roman" w:eastAsia="仿宋_GB2312"/>
          <w:kern w:val="2"/>
          <w:sz w:val="32"/>
          <w:szCs w:val="32"/>
        </w:rPr>
        <w:t>。</w:t>
      </w:r>
      <w:r>
        <w:rPr>
          <w:rFonts w:ascii="Times New Roman" w:hAnsi="Times New Roman" w:eastAsia="仿宋_GB2312"/>
          <w:sz w:val="32"/>
          <w:szCs w:val="32"/>
        </w:rPr>
        <w:t>氨基酸态氮不合格，主要会影响酱油产品的风味。</w:t>
      </w:r>
    </w:p>
    <w:p>
      <w:pPr>
        <w:pStyle w:val="6"/>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400" w:lineRule="exact"/>
        <w:ind w:firstLine="640" w:firstLineChars="200"/>
        <w:jc w:val="both"/>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十三、铵盐</w:t>
      </w:r>
    </w:p>
    <w:p>
      <w:pPr>
        <w:pStyle w:val="6"/>
        <w:keepNext w:val="0"/>
        <w:keepLines w:val="0"/>
        <w:pageBreakBefore w:val="0"/>
        <w:widowControl/>
        <w:kinsoku/>
        <w:wordWrap/>
        <w:overflowPunct/>
        <w:topLinePunct w:val="0"/>
        <w:autoSpaceDE/>
        <w:autoSpaceDN/>
        <w:bidi w:val="0"/>
        <w:adjustRightInd w:val="0"/>
        <w:snapToGrid/>
        <w:spacing w:before="0" w:beforeAutospacing="0" w:after="0" w:afterAutospacing="0" w:line="400" w:lineRule="exact"/>
        <w:ind w:firstLine="640" w:firstLineChars="200"/>
        <w:jc w:val="both"/>
        <w:textAlignment w:val="auto"/>
        <w:rPr>
          <w:rFonts w:hint="eastAsia" w:ascii="Times New Roman" w:hAnsi="Times New Roman" w:eastAsia="仿宋_GB2312"/>
          <w:kern w:val="2"/>
          <w:sz w:val="32"/>
          <w:szCs w:val="32"/>
          <w:lang w:eastAsia="zh-CN"/>
        </w:rPr>
      </w:pPr>
      <w:r>
        <w:rPr>
          <w:rFonts w:hint="eastAsia" w:ascii="Times New Roman" w:hAnsi="Times New Roman" w:eastAsia="仿宋_GB2312"/>
          <w:kern w:val="2"/>
          <w:sz w:val="32"/>
          <w:szCs w:val="32"/>
        </w:rPr>
        <w:t>铵盐超标与氨基酸态氮紧密相关，氨基酸态氮是衡量酱油品质及鲜味的重要指标，</w:t>
      </w:r>
      <w:r>
        <w:rPr>
          <w:rFonts w:ascii="Times New Roman" w:hAnsi="Times New Roman" w:eastAsia="仿宋_GB2312"/>
          <w:kern w:val="2"/>
          <w:sz w:val="32"/>
          <w:szCs w:val="32"/>
        </w:rPr>
        <w:t>铵盐含量不合格，可能</w:t>
      </w:r>
      <w:r>
        <w:rPr>
          <w:rFonts w:hint="eastAsia" w:ascii="Times New Roman" w:hAnsi="Times New Roman" w:eastAsia="仿宋_GB2312"/>
          <w:kern w:val="2"/>
          <w:sz w:val="32"/>
          <w:szCs w:val="32"/>
          <w:lang w:eastAsia="zh-CN"/>
        </w:rPr>
        <w:t>是</w:t>
      </w:r>
      <w:r>
        <w:rPr>
          <w:rFonts w:ascii="Times New Roman" w:hAnsi="Times New Roman" w:eastAsia="仿宋_GB2312"/>
          <w:kern w:val="2"/>
          <w:sz w:val="32"/>
          <w:szCs w:val="32"/>
        </w:rPr>
        <w:t>酱油生产工艺过程中过度发酵、发酵条件失当或菌种不纯</w:t>
      </w:r>
      <w:r>
        <w:rPr>
          <w:rFonts w:hint="eastAsia" w:ascii="Times New Roman" w:hAnsi="Times New Roman" w:eastAsia="仿宋_GB2312"/>
          <w:kern w:val="2"/>
          <w:sz w:val="32"/>
          <w:szCs w:val="32"/>
          <w:lang w:eastAsia="zh-CN"/>
        </w:rPr>
        <w:t>。</w:t>
      </w:r>
    </w:p>
    <w:p>
      <w:pPr>
        <w:keepNext w:val="0"/>
        <w:keepLines w:val="0"/>
        <w:pageBreakBefore w:val="0"/>
        <w:kinsoku/>
        <w:wordWrap/>
        <w:overflowPunct/>
        <w:topLinePunct w:val="0"/>
        <w:autoSpaceDE/>
        <w:autoSpaceDN/>
        <w:bidi w:val="0"/>
        <w:snapToGrid/>
        <w:spacing w:beforeAutospacing="0" w:afterAutospacing="0" w:line="40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十四</w:t>
      </w:r>
      <w:r>
        <w:rPr>
          <w:rFonts w:ascii="Times New Roman" w:hAnsi="Times New Roman" w:eastAsia="黑体"/>
          <w:sz w:val="32"/>
          <w:szCs w:val="32"/>
        </w:rPr>
        <w:t>、恩诺沙星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lang w:eastAsia="zh-CN"/>
        </w:rPr>
        <w:t>以</w:t>
      </w:r>
      <w:r>
        <w:rPr>
          <w:rFonts w:ascii="Times New Roman" w:hAnsi="Times New Roman" w:eastAsia="仿宋_GB2312"/>
          <w:sz w:val="32"/>
          <w:szCs w:val="32"/>
        </w:rPr>
        <w:t>治疗动物的皮肤感染、呼吸道感染等，可用于牛、羊、猪、兔、禽等食用畜禽及其他动物。恩诺沙星</w:t>
      </w:r>
      <w:r>
        <w:rPr>
          <w:rFonts w:hint="eastAsia" w:ascii="仿宋" w:hAnsi="仿宋" w:eastAsia="仿宋" w:cs="仿宋"/>
          <w:color w:val="auto"/>
          <w:sz w:val="32"/>
          <w:szCs w:val="32"/>
          <w:highlight w:val="none"/>
        </w:rPr>
        <w:t>超标的主要原因可能是</w:t>
      </w:r>
      <w:r>
        <w:rPr>
          <w:rFonts w:hint="eastAsia" w:ascii="仿宋" w:hAnsi="仿宋" w:eastAsia="仿宋" w:cs="仿宋"/>
          <w:color w:val="auto"/>
          <w:sz w:val="32"/>
          <w:szCs w:val="32"/>
          <w:highlight w:val="none"/>
          <w:lang w:eastAsia="zh-CN"/>
        </w:rPr>
        <w:t>水产养殖过程中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rPr>
          <w:rFonts w:hint="eastAsia" w:ascii="黑体" w:hAnsi="黑体" w:eastAsia="黑体" w:cs="黑体"/>
          <w:color w:val="auto"/>
          <w:sz w:val="32"/>
          <w:szCs w:val="32"/>
          <w:lang w:val="en-US" w:eastAsia="zh-CN"/>
        </w:rPr>
      </w:pPr>
      <w:r>
        <w:rPr>
          <w:rFonts w:hint="eastAsia" w:ascii="Times New Roman" w:hAnsi="Times New Roman" w:eastAsia="黑体" w:cs="Times New Roman"/>
          <w:kern w:val="2"/>
          <w:sz w:val="32"/>
          <w:szCs w:val="32"/>
          <w:lang w:val="en-US" w:eastAsia="zh-CN" w:bidi="ar-SA"/>
        </w:rPr>
        <w:t>十五、</w:t>
      </w:r>
      <w:r>
        <w:rPr>
          <w:rFonts w:hint="eastAsia" w:ascii="黑体" w:hAnsi="黑体" w:eastAsia="黑体" w:cs="黑体"/>
          <w:color w:val="auto"/>
          <w:sz w:val="32"/>
          <w:szCs w:val="32"/>
          <w:lang w:val="en-US" w:eastAsia="zh-CN"/>
        </w:rPr>
        <w:t>黄曲霉毒素B</w:t>
      </w:r>
      <w:r>
        <w:rPr>
          <w:rFonts w:hint="eastAsia" w:ascii="黑体" w:hAnsi="黑体" w:eastAsia="黑体" w:cs="黑体"/>
          <w:sz w:val="32"/>
          <w:szCs w:val="32"/>
          <w:vertAlign w:val="subscript"/>
          <w:lang w:val="en-US" w:eastAsia="zh-CN"/>
        </w:rPr>
        <w:t>1</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textAlignment w:val="auto"/>
        <w:outlineLvl w:val="9"/>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是一种强致癌性的真菌毒素。《食品安全国家标准 食品中真菌毒素限量》（GB 2761-2017）中规定，黄曲霉毒素B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在花生及其制品中的最大限量值为20μg/kg。黄曲霉毒素B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是黄曲霉、寄生曲霉等产生的代谢产物。当花生未能及时晒干及储藏不当时，往往容易被黄曲霉或寄生曲霉污染而导致黄曲霉毒素B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超标。</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十六</w:t>
      </w:r>
      <w:bookmarkStart w:id="2" w:name="_GoBack"/>
      <w:bookmarkEnd w:id="2"/>
      <w:r>
        <w:rPr>
          <w:rFonts w:hint="eastAsia" w:ascii="黑体" w:hAnsi="黑体" w:eastAsia="黑体" w:cs="黑体"/>
          <w:sz w:val="32"/>
          <w:szCs w:val="32"/>
          <w:lang w:eastAsia="zh-CN"/>
        </w:rPr>
        <w:t>、磺胺类（总量）</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ascii="Times New Roman" w:hAnsi="Times New Roman" w:eastAsia="仿宋_GB2312"/>
          <w:sz w:val="32"/>
          <w:szCs w:val="32"/>
        </w:rPr>
      </w:pPr>
      <w:r>
        <w:rPr>
          <w:rFonts w:hint="eastAsia" w:ascii="仿宋" w:hAnsi="仿宋" w:eastAsia="仿宋" w:cs="仿宋"/>
          <w:sz w:val="32"/>
          <w:szCs w:val="32"/>
        </w:rPr>
        <w:t>磺胺类药物是一种人工合成的抗菌谱较广、性质稳定、使用简便的抗菌药，对大多数革兰氏阳性菌和阴性菌都有较强抑制作用。</w:t>
      </w:r>
      <w:r>
        <w:rPr>
          <w:rFonts w:hint="eastAsia" w:ascii="仿宋" w:hAnsi="仿宋" w:eastAsia="仿宋" w:cs="仿宋"/>
          <w:color w:val="auto"/>
          <w:sz w:val="32"/>
          <w:szCs w:val="32"/>
          <w:highlight w:val="none"/>
        </w:rPr>
        <w:t>磺胺类（总量）超标的主要原因可能是</w:t>
      </w:r>
      <w:r>
        <w:rPr>
          <w:rFonts w:hint="eastAsia" w:ascii="仿宋" w:hAnsi="仿宋" w:eastAsia="仿宋" w:cs="仿宋"/>
          <w:color w:val="auto"/>
          <w:sz w:val="32"/>
          <w:szCs w:val="32"/>
          <w:highlight w:val="none"/>
          <w:lang w:eastAsia="zh-CN"/>
        </w:rPr>
        <w:t>畜牧养殖过程中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640" w:firstLineChars="200"/>
        <w:textAlignment w:val="auto"/>
        <w:rPr>
          <w:rFonts w:hint="eastAsia" w:ascii="仿宋" w:hAnsi="仿宋" w:eastAsia="仿宋" w:cs="仿宋"/>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B27A"/>
    <w:multiLevelType w:val="singleLevel"/>
    <w:tmpl w:val="319BB2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6176A1"/>
    <w:rsid w:val="098C4AD6"/>
    <w:rsid w:val="09AD3D2D"/>
    <w:rsid w:val="0A8A135D"/>
    <w:rsid w:val="0AAB3302"/>
    <w:rsid w:val="0C1A7DE6"/>
    <w:rsid w:val="0C6647C1"/>
    <w:rsid w:val="0D080EEF"/>
    <w:rsid w:val="0DCD408C"/>
    <w:rsid w:val="1067456A"/>
    <w:rsid w:val="109C1D15"/>
    <w:rsid w:val="10AE03F8"/>
    <w:rsid w:val="11540BC8"/>
    <w:rsid w:val="14DD132B"/>
    <w:rsid w:val="15D35D91"/>
    <w:rsid w:val="16293424"/>
    <w:rsid w:val="16A5094C"/>
    <w:rsid w:val="16F16139"/>
    <w:rsid w:val="174F26D8"/>
    <w:rsid w:val="17844181"/>
    <w:rsid w:val="17D16A01"/>
    <w:rsid w:val="1A4D3850"/>
    <w:rsid w:val="1AAE282B"/>
    <w:rsid w:val="1DC60705"/>
    <w:rsid w:val="1DCA15E8"/>
    <w:rsid w:val="1E653698"/>
    <w:rsid w:val="21267DEF"/>
    <w:rsid w:val="214E7B36"/>
    <w:rsid w:val="241F67F7"/>
    <w:rsid w:val="24DF7C17"/>
    <w:rsid w:val="27441CC2"/>
    <w:rsid w:val="27DE4DFA"/>
    <w:rsid w:val="29527064"/>
    <w:rsid w:val="29CB062A"/>
    <w:rsid w:val="2B23001F"/>
    <w:rsid w:val="2D873E73"/>
    <w:rsid w:val="2DC9409F"/>
    <w:rsid w:val="2E047006"/>
    <w:rsid w:val="2E375ACA"/>
    <w:rsid w:val="2EF84E53"/>
    <w:rsid w:val="30B03B2F"/>
    <w:rsid w:val="311B2AB5"/>
    <w:rsid w:val="32CB30AC"/>
    <w:rsid w:val="37184F83"/>
    <w:rsid w:val="3ABC1FE1"/>
    <w:rsid w:val="3B551BC6"/>
    <w:rsid w:val="3DBA5BE8"/>
    <w:rsid w:val="3E0B4B63"/>
    <w:rsid w:val="3EA42C16"/>
    <w:rsid w:val="3F665B6E"/>
    <w:rsid w:val="3FF47B42"/>
    <w:rsid w:val="41036A61"/>
    <w:rsid w:val="41E80A47"/>
    <w:rsid w:val="426A6186"/>
    <w:rsid w:val="43CF2673"/>
    <w:rsid w:val="444C3A23"/>
    <w:rsid w:val="456D64FF"/>
    <w:rsid w:val="45801D20"/>
    <w:rsid w:val="47476A52"/>
    <w:rsid w:val="48117E1B"/>
    <w:rsid w:val="492B5D59"/>
    <w:rsid w:val="4AF06F11"/>
    <w:rsid w:val="4B2702ED"/>
    <w:rsid w:val="4C403DD2"/>
    <w:rsid w:val="4EE22277"/>
    <w:rsid w:val="4F080B75"/>
    <w:rsid w:val="4F2C65C3"/>
    <w:rsid w:val="5017563D"/>
    <w:rsid w:val="513F6002"/>
    <w:rsid w:val="52B72972"/>
    <w:rsid w:val="53AB3FB6"/>
    <w:rsid w:val="54662E91"/>
    <w:rsid w:val="54A413F4"/>
    <w:rsid w:val="54DA4CA8"/>
    <w:rsid w:val="55D67DAA"/>
    <w:rsid w:val="560E5994"/>
    <w:rsid w:val="56666818"/>
    <w:rsid w:val="56A54DF2"/>
    <w:rsid w:val="58BA776A"/>
    <w:rsid w:val="598A34A9"/>
    <w:rsid w:val="5A515E52"/>
    <w:rsid w:val="5BAE373B"/>
    <w:rsid w:val="5BC33DA8"/>
    <w:rsid w:val="5C4821F4"/>
    <w:rsid w:val="5DAD2E62"/>
    <w:rsid w:val="60A26DA1"/>
    <w:rsid w:val="61117A29"/>
    <w:rsid w:val="612175D9"/>
    <w:rsid w:val="61DB1E35"/>
    <w:rsid w:val="61EE24B5"/>
    <w:rsid w:val="645F28A9"/>
    <w:rsid w:val="65031979"/>
    <w:rsid w:val="656B0542"/>
    <w:rsid w:val="662B3639"/>
    <w:rsid w:val="664F1417"/>
    <w:rsid w:val="66B21B51"/>
    <w:rsid w:val="67F7297A"/>
    <w:rsid w:val="697C5C95"/>
    <w:rsid w:val="6B5457C1"/>
    <w:rsid w:val="6EF70921"/>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2020-04-03T03:23:51Z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