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jc w:val="center"/>
        <w:rPr>
          <w:rFonts w:hint="eastAsia" w:ascii="方正小标宋简体" w:hAnsi="仿宋" w:eastAsia="方正小标宋简体" w:cs="仿宋"/>
          <w:b/>
          <w:bCs/>
          <w:color w:val="000000" w:themeColor="text1"/>
          <w:kern w:val="0"/>
          <w:sz w:val="44"/>
          <w:szCs w:val="44"/>
        </w:rPr>
      </w:pPr>
      <w:r>
        <w:rPr>
          <w:rFonts w:hint="eastAsia" w:ascii="方正小标宋简体" w:hAnsi="仿宋" w:eastAsia="方正小标宋简体" w:cs="仿宋"/>
          <w:b/>
          <w:bCs/>
          <w:color w:val="000000" w:themeColor="text1"/>
          <w:kern w:val="0"/>
          <w:sz w:val="44"/>
          <w:szCs w:val="44"/>
          <w:lang w:eastAsia="zh-CN"/>
        </w:rPr>
        <w:t>河南</w:t>
      </w:r>
      <w:r>
        <w:rPr>
          <w:rFonts w:hint="eastAsia" w:ascii="方正小标宋简体" w:hAnsi="仿宋" w:eastAsia="方正小标宋简体" w:cs="仿宋"/>
          <w:b/>
          <w:bCs/>
          <w:color w:val="000000" w:themeColor="text1"/>
          <w:kern w:val="0"/>
          <w:sz w:val="44"/>
          <w:szCs w:val="44"/>
        </w:rPr>
        <w:t>省市场监督管理</w:t>
      </w:r>
    </w:p>
    <w:p>
      <w:pPr>
        <w:widowControl/>
        <w:shd w:val="clear" w:color="auto" w:fill="FFFFFF"/>
        <w:ind w:firstLine="480"/>
        <w:jc w:val="center"/>
        <w:rPr>
          <w:rFonts w:hint="eastAsia" w:ascii="方正小标宋简体" w:hAnsi="仿宋" w:eastAsia="方正小标宋简体" w:cs="仿宋"/>
          <w:b/>
          <w:bCs/>
          <w:color w:val="000000" w:themeColor="text1"/>
          <w:kern w:val="0"/>
          <w:sz w:val="44"/>
          <w:szCs w:val="44"/>
          <w:lang w:eastAsia="zh-CN"/>
        </w:rPr>
      </w:pPr>
      <w:r>
        <w:rPr>
          <w:rFonts w:hint="eastAsia" w:ascii="方正小标宋简体" w:hAnsi="仿宋" w:eastAsia="方正小标宋简体" w:cs="仿宋"/>
          <w:b/>
          <w:bCs/>
          <w:color w:val="000000" w:themeColor="text1"/>
          <w:kern w:val="0"/>
          <w:sz w:val="44"/>
          <w:szCs w:val="44"/>
        </w:rPr>
        <w:t>行政处罚裁量基准</w:t>
      </w:r>
      <w:r>
        <w:rPr>
          <w:rFonts w:hint="eastAsia" w:ascii="方正小标宋简体" w:hAnsi="仿宋" w:eastAsia="方正小标宋简体" w:cs="仿宋"/>
          <w:b/>
          <w:bCs/>
          <w:color w:val="000000" w:themeColor="text1"/>
          <w:kern w:val="0"/>
          <w:sz w:val="44"/>
          <w:szCs w:val="44"/>
          <w:lang w:eastAsia="zh-CN"/>
        </w:rPr>
        <w:t>规定（征求意见稿）</w:t>
      </w:r>
    </w:p>
    <w:p>
      <w:pPr>
        <w:widowControl/>
        <w:shd w:val="clear" w:color="auto" w:fill="FFFFFF"/>
        <w:ind w:firstLine="480"/>
        <w:jc w:val="center"/>
        <w:rPr>
          <w:rFonts w:ascii="方正小标宋简体" w:hAnsi="仿宋" w:eastAsia="方正小标宋简体" w:cs="仿宋"/>
          <w:color w:val="000000" w:themeColor="text1"/>
          <w:kern w:val="0"/>
          <w:sz w:val="44"/>
          <w:szCs w:val="44"/>
        </w:rPr>
      </w:pPr>
    </w:p>
    <w:p>
      <w:pPr>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kern w:val="0"/>
          <w:sz w:val="32"/>
          <w:szCs w:val="32"/>
        </w:rPr>
        <w:t>第一条</w:t>
      </w:r>
      <w:r>
        <w:rPr>
          <w:rFonts w:ascii="仿宋" w:hAnsi="仿宋" w:eastAsia="仿宋" w:cs="仿宋"/>
          <w:b/>
          <w:bCs/>
          <w:color w:val="000000" w:themeColor="text1"/>
          <w:sz w:val="32"/>
          <w:szCs w:val="32"/>
        </w:rPr>
        <w:t xml:space="preserve"> </w:t>
      </w:r>
      <w:r>
        <w:rPr>
          <w:rFonts w:hint="eastAsia" w:ascii="仿宋" w:hAnsi="仿宋" w:eastAsia="仿宋" w:cs="仿宋"/>
          <w:color w:val="000000" w:themeColor="text1"/>
          <w:kern w:val="0"/>
          <w:sz w:val="32"/>
          <w:szCs w:val="32"/>
        </w:rPr>
        <w:t>为建立健全行政处罚裁量基准制度，规范行政处罚裁量，保护公民、法人和其他组织的合法权益，根据《中华人民共和国行政处罚法》、</w:t>
      </w:r>
      <w:r>
        <w:rPr>
          <w:rFonts w:hint="eastAsia" w:ascii="仿宋" w:hAnsi="仿宋" w:eastAsia="仿宋" w:cs="仿宋"/>
          <w:color w:val="000000" w:themeColor="text1"/>
          <w:sz w:val="32"/>
          <w:szCs w:val="32"/>
        </w:rPr>
        <w:t>《市场监管总局关于市场监督管理部门正确行使行政处罚裁量权的</w:t>
      </w:r>
      <w:r>
        <w:rPr>
          <w:rFonts w:hint="eastAsia" w:ascii="仿宋" w:hAnsi="仿宋" w:eastAsia="仿宋" w:cs="仿宋"/>
          <w:color w:val="000000" w:themeColor="text1"/>
          <w:kern w:val="0"/>
          <w:sz w:val="32"/>
          <w:szCs w:val="32"/>
        </w:rPr>
        <w:t>指导意见》等规定，结合本省市场监督管理工作实际，制定本规定。</w:t>
      </w:r>
    </w:p>
    <w:p>
      <w:pPr>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第二条</w:t>
      </w: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sz w:val="32"/>
          <w:szCs w:val="32"/>
          <w:lang w:eastAsia="zh-CN"/>
        </w:rPr>
        <w:t>河南</w:t>
      </w:r>
      <w:r>
        <w:rPr>
          <w:rFonts w:hint="eastAsia" w:ascii="仿宋" w:hAnsi="仿宋" w:eastAsia="仿宋" w:cs="仿宋"/>
          <w:color w:val="000000" w:themeColor="text1"/>
          <w:sz w:val="32"/>
          <w:szCs w:val="32"/>
        </w:rPr>
        <w:t>省各级市场监管部门实施行政处罚应当遵守本规定。</w:t>
      </w:r>
    </w:p>
    <w:p>
      <w:pPr>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第三条</w:t>
      </w:r>
      <w:r>
        <w:rPr>
          <w:rFonts w:hint="eastAsia" w:ascii="仿宋" w:hAnsi="仿宋" w:eastAsia="仿宋" w:cs="仿宋"/>
          <w:color w:val="000000" w:themeColor="text1"/>
          <w:kern w:val="0"/>
          <w:sz w:val="32"/>
          <w:szCs w:val="32"/>
        </w:rPr>
        <w:t xml:space="preserve">  本规定所称行政处罚裁量基准，是指各级市场监督管理部门在法律、法规和规章规定的裁量范围内，对自然人、法人和其他组织的违法行为，视违法情节轻重程度、后果影响大小等因素，据以确定是否处罚，以及作出何种类别、幅度的处罚及其具体适用情形的细化、量化标准。</w:t>
      </w:r>
    </w:p>
    <w:p>
      <w:pPr>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第四条</w:t>
      </w:r>
      <w:r>
        <w:rPr>
          <w:rFonts w:hint="eastAsia" w:ascii="仿宋" w:hAnsi="仿宋" w:eastAsia="仿宋" w:cs="仿宋"/>
          <w:color w:val="000000" w:themeColor="text1"/>
          <w:kern w:val="0"/>
          <w:sz w:val="32"/>
          <w:szCs w:val="32"/>
        </w:rPr>
        <w:t xml:space="preserve">  制定和适用行政处罚裁量基准，应当遵循合法、合理、过罚相当、公平公正、公开的原则。</w:t>
      </w:r>
    </w:p>
    <w:p>
      <w:pPr>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第五条</w:t>
      </w:r>
      <w:r>
        <w:rPr>
          <w:rFonts w:hint="eastAsia" w:ascii="仿宋" w:hAnsi="仿宋" w:eastAsia="仿宋" w:cs="仿宋"/>
          <w:color w:val="000000" w:themeColor="text1"/>
          <w:kern w:val="0"/>
          <w:sz w:val="32"/>
          <w:szCs w:val="32"/>
        </w:rPr>
        <w:t xml:space="preserve"> 行政处罚裁量基准一般包括违法行为名称、</w:t>
      </w:r>
      <w:r>
        <w:rPr>
          <w:rFonts w:hint="eastAsia" w:ascii="仿宋" w:hAnsi="仿宋" w:eastAsia="仿宋" w:cs="仿宋"/>
          <w:color w:val="000000" w:themeColor="text1"/>
          <w:kern w:val="0"/>
          <w:sz w:val="32"/>
          <w:szCs w:val="32"/>
          <w:lang w:eastAsia="zh-CN"/>
        </w:rPr>
        <w:t>处罚依据、适用情形</w:t>
      </w:r>
      <w:r>
        <w:rPr>
          <w:rFonts w:hint="eastAsia" w:ascii="仿宋" w:hAnsi="仿宋" w:eastAsia="仿宋" w:cs="仿宋"/>
          <w:color w:val="000000" w:themeColor="text1"/>
          <w:kern w:val="0"/>
          <w:sz w:val="32"/>
          <w:szCs w:val="32"/>
        </w:rPr>
        <w:t>和</w:t>
      </w:r>
      <w:r>
        <w:rPr>
          <w:rFonts w:hint="eastAsia" w:ascii="仿宋" w:hAnsi="仿宋" w:eastAsia="仿宋" w:cs="仿宋"/>
          <w:color w:val="000000" w:themeColor="text1"/>
          <w:kern w:val="0"/>
          <w:sz w:val="32"/>
          <w:szCs w:val="32"/>
          <w:lang w:eastAsia="zh-CN"/>
        </w:rPr>
        <w:t>裁量基准</w:t>
      </w:r>
      <w:r>
        <w:rPr>
          <w:rFonts w:hint="eastAsia" w:ascii="仿宋" w:hAnsi="仿宋" w:eastAsia="仿宋" w:cs="仿宋"/>
          <w:color w:val="000000" w:themeColor="text1"/>
          <w:kern w:val="0"/>
          <w:sz w:val="32"/>
          <w:szCs w:val="32"/>
        </w:rPr>
        <w:t>四个方面</w:t>
      </w:r>
    </w:p>
    <w:p>
      <w:pPr>
        <w:pStyle w:val="4"/>
        <w:shd w:val="clear" w:color="auto" w:fill="FFFFFF"/>
        <w:spacing w:before="0" w:beforeAutospacing="0" w:after="0" w:afterAutospacing="0"/>
        <w:ind w:firstLine="320" w:firstLineChars="1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第六条</w:t>
      </w:r>
      <w:r>
        <w:rPr>
          <w:rFonts w:hint="eastAsia" w:ascii="仿宋" w:hAnsi="仿宋" w:eastAsia="仿宋" w:cs="仿宋"/>
          <w:color w:val="000000" w:themeColor="text1"/>
          <w:sz w:val="32"/>
          <w:szCs w:val="32"/>
        </w:rPr>
        <w:t xml:space="preserve">  对法律、法规和规章设定有一定幅度的罚款处罚，裁量基准应当视情节在幅度范围内划分为从轻处罚、一般处罚、从重处罚。罚款数额按照以下标准确定:</w:t>
      </w:r>
    </w:p>
    <w:p>
      <w:pPr>
        <w:widowControl/>
        <w:shd w:val="clear" w:color="auto" w:fill="FFFFFF"/>
        <w:ind w:firstLine="619"/>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（一）罚款为一定幅度数额或者一定倍数的，从轻处罚罚款的数额</w:t>
      </w:r>
      <w:r>
        <w:rPr>
          <w:rFonts w:hint="eastAsia" w:ascii="仿宋" w:hAnsi="仿宋" w:eastAsia="仿宋" w:cs="仿宋"/>
          <w:color w:val="000000" w:themeColor="text1"/>
          <w:kern w:val="0"/>
          <w:sz w:val="32"/>
          <w:szCs w:val="32"/>
          <w:lang w:eastAsia="zh-CN"/>
        </w:rPr>
        <w:t>（倍数）</w:t>
      </w:r>
      <w:r>
        <w:rPr>
          <w:rFonts w:hint="eastAsia" w:ascii="仿宋" w:hAnsi="仿宋" w:eastAsia="仿宋" w:cs="仿宋"/>
          <w:color w:val="000000" w:themeColor="text1"/>
          <w:kern w:val="0"/>
          <w:sz w:val="32"/>
          <w:szCs w:val="32"/>
        </w:rPr>
        <w:t>应当为从最低限到最高限这一幅度中较低的30%部分；从重处罚罚款的数额</w:t>
      </w:r>
      <w:r>
        <w:rPr>
          <w:rFonts w:hint="eastAsia" w:ascii="仿宋" w:hAnsi="仿宋" w:eastAsia="仿宋" w:cs="仿宋"/>
          <w:color w:val="000000" w:themeColor="text1"/>
          <w:kern w:val="0"/>
          <w:sz w:val="32"/>
          <w:szCs w:val="32"/>
          <w:lang w:eastAsia="zh-CN"/>
        </w:rPr>
        <w:t>（倍数）</w:t>
      </w:r>
      <w:r>
        <w:rPr>
          <w:rFonts w:hint="eastAsia" w:ascii="仿宋" w:hAnsi="仿宋" w:eastAsia="仿宋" w:cs="仿宋"/>
          <w:color w:val="000000" w:themeColor="text1"/>
          <w:kern w:val="0"/>
          <w:sz w:val="32"/>
          <w:szCs w:val="32"/>
        </w:rPr>
        <w:t>应当为从最低限到最高限这一幅度中较高的30%部分；一般处罚按照中间阶次</w:t>
      </w:r>
      <w:r>
        <w:rPr>
          <w:rFonts w:hint="eastAsia" w:ascii="仿宋" w:hAnsi="仿宋" w:eastAsia="仿宋" w:cs="仿宋"/>
          <w:color w:val="000000" w:themeColor="text1"/>
          <w:kern w:val="0"/>
          <w:sz w:val="32"/>
          <w:szCs w:val="32"/>
          <w:lang w:eastAsia="zh-CN"/>
        </w:rPr>
        <w:t>罚款</w:t>
      </w:r>
      <w:r>
        <w:rPr>
          <w:rFonts w:hint="eastAsia" w:ascii="仿宋" w:hAnsi="仿宋" w:eastAsia="仿宋" w:cs="仿宋"/>
          <w:color w:val="000000" w:themeColor="text1"/>
          <w:kern w:val="0"/>
          <w:sz w:val="32"/>
          <w:szCs w:val="32"/>
        </w:rPr>
        <w:t>。</w:t>
      </w:r>
    </w:p>
    <w:p>
      <w:pPr>
        <w:autoSpaceDE w:val="0"/>
        <w:autoSpaceDN w:val="0"/>
        <w:adjustRightInd w:val="0"/>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(二)只规定最高罚款数额</w:t>
      </w:r>
      <w:r>
        <w:rPr>
          <w:rFonts w:hint="eastAsia" w:ascii="仿宋" w:hAnsi="仿宋" w:eastAsia="仿宋" w:cs="仿宋"/>
          <w:color w:val="000000" w:themeColor="text1"/>
          <w:kern w:val="0"/>
          <w:sz w:val="32"/>
          <w:szCs w:val="32"/>
          <w:lang w:eastAsia="zh-CN"/>
        </w:rPr>
        <w:t>或者倍数</w:t>
      </w:r>
      <w:r>
        <w:rPr>
          <w:rFonts w:hint="eastAsia" w:ascii="仿宋" w:hAnsi="仿宋" w:eastAsia="仿宋" w:cs="仿宋"/>
          <w:color w:val="000000" w:themeColor="text1"/>
          <w:kern w:val="0"/>
          <w:sz w:val="32"/>
          <w:szCs w:val="32"/>
        </w:rPr>
        <w:t>没有规定最低罚款数额</w:t>
      </w:r>
      <w:r>
        <w:rPr>
          <w:rFonts w:hint="eastAsia" w:ascii="仿宋" w:hAnsi="仿宋" w:eastAsia="仿宋" w:cs="仿宋"/>
          <w:color w:val="000000" w:themeColor="text1"/>
          <w:kern w:val="0"/>
          <w:sz w:val="32"/>
          <w:szCs w:val="32"/>
          <w:lang w:eastAsia="zh-CN"/>
        </w:rPr>
        <w:t>或者倍数</w:t>
      </w:r>
      <w:r>
        <w:rPr>
          <w:rFonts w:hint="eastAsia" w:ascii="仿宋" w:hAnsi="仿宋" w:eastAsia="仿宋" w:cs="仿宋"/>
          <w:color w:val="000000" w:themeColor="text1"/>
          <w:kern w:val="0"/>
          <w:sz w:val="32"/>
          <w:szCs w:val="32"/>
        </w:rPr>
        <w:t>的，一般处罚按照最高罚款数额</w:t>
      </w:r>
      <w:r>
        <w:rPr>
          <w:rFonts w:hint="eastAsia" w:ascii="仿宋" w:hAnsi="仿宋" w:eastAsia="仿宋" w:cs="仿宋"/>
          <w:color w:val="000000" w:themeColor="text1"/>
          <w:kern w:val="0"/>
          <w:sz w:val="32"/>
          <w:szCs w:val="32"/>
          <w:lang w:eastAsia="zh-CN"/>
        </w:rPr>
        <w:t>（倍数）</w:t>
      </w:r>
      <w:r>
        <w:rPr>
          <w:rFonts w:hint="eastAsia" w:ascii="仿宋" w:hAnsi="仿宋" w:eastAsia="仿宋" w:cs="仿宋"/>
          <w:color w:val="000000" w:themeColor="text1"/>
          <w:kern w:val="0"/>
          <w:sz w:val="32"/>
          <w:szCs w:val="32"/>
        </w:rPr>
        <w:t>的</w:t>
      </w: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rPr>
        <w:t>0%以上7</w:t>
      </w:r>
      <w:r>
        <w:rPr>
          <w:rFonts w:ascii="仿宋" w:hAnsi="仿宋" w:eastAsia="仿宋" w:cs="仿宋"/>
          <w:color w:val="000000" w:themeColor="text1"/>
          <w:kern w:val="0"/>
          <w:sz w:val="32"/>
          <w:szCs w:val="32"/>
        </w:rPr>
        <w:t>0</w:t>
      </w:r>
      <w:r>
        <w:rPr>
          <w:rFonts w:hint="eastAsia" w:ascii="仿宋" w:hAnsi="仿宋" w:eastAsia="仿宋" w:cs="仿宋"/>
          <w:color w:val="000000" w:themeColor="text1"/>
          <w:kern w:val="0"/>
          <w:sz w:val="32"/>
          <w:szCs w:val="32"/>
        </w:rPr>
        <w:t>以下%确定，从轻处罚按最高罚款数额</w:t>
      </w:r>
      <w:r>
        <w:rPr>
          <w:rFonts w:hint="eastAsia" w:ascii="仿宋" w:hAnsi="仿宋" w:eastAsia="仿宋" w:cs="仿宋"/>
          <w:color w:val="000000" w:themeColor="text1"/>
          <w:kern w:val="0"/>
          <w:sz w:val="32"/>
          <w:szCs w:val="32"/>
          <w:lang w:eastAsia="zh-CN"/>
        </w:rPr>
        <w:t>（倍数）</w:t>
      </w:r>
      <w:r>
        <w:rPr>
          <w:rFonts w:hint="eastAsia" w:ascii="仿宋" w:hAnsi="仿宋" w:eastAsia="仿宋" w:cs="仿宋"/>
          <w:color w:val="000000" w:themeColor="text1"/>
          <w:kern w:val="0"/>
          <w:sz w:val="32"/>
          <w:szCs w:val="32"/>
        </w:rPr>
        <w:t>的30％以下确定，从重处罚按最高罚款数额的70％以上确定。</w:t>
      </w:r>
    </w:p>
    <w:p>
      <w:pPr>
        <w:autoSpaceDE w:val="0"/>
        <w:autoSpaceDN w:val="0"/>
        <w:adjustRightInd w:val="0"/>
        <w:ind w:firstLine="643" w:firstLineChars="200"/>
        <w:jc w:val="left"/>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第七条</w:t>
      </w:r>
      <w:r>
        <w:rPr>
          <w:rFonts w:hint="eastAsia" w:ascii="仿宋" w:hAnsi="仿宋" w:eastAsia="仿宋" w:cs="仿宋"/>
          <w:color w:val="000000" w:themeColor="text1"/>
          <w:kern w:val="0"/>
          <w:sz w:val="32"/>
          <w:szCs w:val="32"/>
        </w:rPr>
        <w:t xml:space="preserve"> 法律、法规、规章规定的处罚种类可以单处或可以并处的，可以选择适用；规定应当并处的，不得选择适用。</w:t>
      </w:r>
    </w:p>
    <w:p>
      <w:pPr>
        <w:autoSpaceDE w:val="0"/>
        <w:autoSpaceDN w:val="0"/>
        <w:adjustRightInd w:val="0"/>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可以单处也可以并处的行政处罚，应当根据综合裁量的原则决定单处或者并处；适用从重行政处罚的，应当予以并处。</w:t>
      </w:r>
    </w:p>
    <w:p>
      <w:pPr>
        <w:pStyle w:val="4"/>
        <w:shd w:val="clear" w:color="auto" w:fill="FFFFFF"/>
        <w:spacing w:before="0" w:beforeAutospacing="0" w:after="0" w:afterAutospacing="0"/>
        <w:ind w:firstLine="48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第八条</w:t>
      </w:r>
      <w:r>
        <w:rPr>
          <w:rFonts w:hint="eastAsia" w:ascii="仿宋" w:hAnsi="仿宋" w:eastAsia="仿宋" w:cs="仿宋"/>
          <w:color w:val="000000" w:themeColor="text1"/>
          <w:sz w:val="32"/>
          <w:szCs w:val="32"/>
        </w:rPr>
        <w:t xml:space="preserve">  行政管理相对人的同一个违法行为，同时违反不同法律、法规和规章的规定，对同一种类的行政处罚不得合并。</w:t>
      </w:r>
    </w:p>
    <w:p>
      <w:pPr>
        <w:pStyle w:val="4"/>
        <w:spacing w:before="0" w:beforeAutospacing="0" w:after="0" w:afterAutospacing="0"/>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第九条</w:t>
      </w:r>
      <w:r>
        <w:rPr>
          <w:rFonts w:hint="eastAsia" w:ascii="仿宋" w:hAnsi="仿宋" w:eastAsia="仿宋" w:cs="仿宋"/>
          <w:color w:val="000000" w:themeColor="text1"/>
          <w:sz w:val="32"/>
          <w:szCs w:val="32"/>
        </w:rPr>
        <w:t xml:space="preserve">  同一当事人的两种以上违法行为没有牵连关系的，遵循“分别处罚，一并执行”的原则；两种以上违法行为有牵连关系的，适用吸收原则，从重处罚。</w:t>
      </w:r>
    </w:p>
    <w:p>
      <w:pPr>
        <w:pStyle w:val="4"/>
        <w:spacing w:before="0" w:beforeAutospacing="0" w:after="0" w:afterAutospacing="0"/>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第十条</w:t>
      </w:r>
      <w:r>
        <w:rPr>
          <w:rFonts w:ascii="Calibri" w:hAnsi="Calibri" w:eastAsia="仿宋" w:cs="Calibri"/>
          <w:color w:val="000000" w:themeColor="text1"/>
          <w:sz w:val="32"/>
          <w:szCs w:val="32"/>
        </w:rPr>
        <w:t> </w:t>
      </w:r>
      <w:r>
        <w:rPr>
          <w:rFonts w:hint="eastAsia" w:ascii="仿宋" w:hAnsi="仿宋" w:eastAsia="仿宋" w:cs="仿宋"/>
          <w:color w:val="000000" w:themeColor="text1"/>
          <w:sz w:val="32"/>
          <w:szCs w:val="32"/>
        </w:rPr>
        <w:t>同一办案机关对于性质相同、情节相近、危害后果基本相当、违法主体同类的案件，在实施行政处罚行使自由裁量权时，适用的法律依据、处罚种类及处罚幅度应当基本相同。</w:t>
      </w:r>
    </w:p>
    <w:p>
      <w:pPr>
        <w:pStyle w:val="4"/>
        <w:spacing w:before="0" w:beforeAutospacing="0" w:after="0" w:afterAutospacing="0"/>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第十一条</w:t>
      </w:r>
      <w:r>
        <w:rPr>
          <w:rFonts w:hint="eastAsia" w:ascii="仿宋" w:hAnsi="仿宋" w:eastAsia="仿宋" w:cs="仿宋"/>
          <w:color w:val="000000" w:themeColor="text1"/>
          <w:sz w:val="32"/>
          <w:szCs w:val="32"/>
        </w:rPr>
        <w:t xml:space="preserve">  </w:t>
      </w:r>
      <w:r>
        <w:rPr>
          <w:rFonts w:ascii="仿宋" w:hAnsi="仿宋" w:eastAsia="仿宋" w:cs="仿宋"/>
          <w:color w:val="000000" w:themeColor="text1"/>
          <w:sz w:val="32"/>
          <w:szCs w:val="32"/>
        </w:rPr>
        <w:t>有下列情形之一的，不予行政处罚：</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（1）不满十四周岁的人有违法行为的；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（2）精神病人</w:t>
      </w:r>
      <w:r>
        <w:rPr>
          <w:rFonts w:hint="eastAsia" w:ascii="仿宋" w:hAnsi="仿宋" w:eastAsia="仿宋" w:cs="仿宋"/>
          <w:color w:val="000000" w:themeColor="text1"/>
          <w:sz w:val="32"/>
          <w:szCs w:val="32"/>
        </w:rPr>
        <w:t>或间歇性精神病人</w:t>
      </w:r>
      <w:r>
        <w:rPr>
          <w:rFonts w:ascii="仿宋" w:hAnsi="仿宋" w:eastAsia="仿宋" w:cs="仿宋"/>
          <w:color w:val="000000" w:themeColor="text1"/>
          <w:sz w:val="32"/>
          <w:szCs w:val="32"/>
        </w:rPr>
        <w:t>在不能辨认或者不能控制自己行为时实施违法行为的；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（3）违法行为轻微并及时纠正，没有造成危害后果的；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（4）除法律另有规定外，</w:t>
      </w:r>
      <w:r>
        <w:rPr>
          <w:rFonts w:hint="eastAsia" w:ascii="仿宋" w:hAnsi="仿宋" w:eastAsia="仿宋" w:cs="仿宋"/>
          <w:color w:val="000000" w:themeColor="text1"/>
          <w:sz w:val="32"/>
          <w:szCs w:val="32"/>
        </w:rPr>
        <w:t>违法行为终了之日起在二年内未被发现的</w:t>
      </w:r>
      <w:r>
        <w:rPr>
          <w:rFonts w:ascii="仿宋" w:hAnsi="仿宋" w:eastAsia="仿宋" w:cs="仿宋"/>
          <w:color w:val="000000" w:themeColor="text1"/>
          <w:sz w:val="32"/>
          <w:szCs w:val="32"/>
        </w:rPr>
        <w:t>；</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法律、法规、规章规定的其他情形。</w:t>
      </w:r>
    </w:p>
    <w:p>
      <w:pPr>
        <w:pStyle w:val="4"/>
        <w:spacing w:before="0" w:beforeAutospacing="0" w:after="0" w:afterAutospacing="0"/>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第十二条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违法行为未造成严重后果且有下列情形之一的,依法减轻处罚:</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ascii="仿宋" w:hAnsi="仿宋" w:eastAsia="仿宋" w:cs="仿宋"/>
          <w:color w:val="000000" w:themeColor="text1"/>
          <w:sz w:val="32"/>
          <w:szCs w:val="32"/>
        </w:rPr>
        <w:t>已满十四周岁不满十八周岁的人有违法行为的；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(2)及时、主动消除或者减轻违法行为危害后果的;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w:t>
      </w:r>
      <w:r>
        <w:rPr>
          <w:rFonts w:ascii="仿宋" w:hAnsi="仿宋" w:eastAsia="仿宋" w:cs="仿宋"/>
          <w:color w:val="000000" w:themeColor="text1"/>
          <w:sz w:val="32"/>
          <w:szCs w:val="32"/>
        </w:rPr>
        <w:t xml:space="preserve"> 配合行政机关查处违法行为</w:t>
      </w:r>
      <w:r>
        <w:rPr>
          <w:rFonts w:hint="eastAsia" w:ascii="仿宋" w:hAnsi="仿宋" w:eastAsia="仿宋" w:cs="仿宋"/>
          <w:color w:val="000000" w:themeColor="text1"/>
          <w:sz w:val="32"/>
          <w:szCs w:val="32"/>
        </w:rPr>
        <w:t>有重大立功表现的;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(4)法律、法规、规章规定的其他情形。</w:t>
      </w:r>
    </w:p>
    <w:p>
      <w:pPr>
        <w:pStyle w:val="4"/>
        <w:spacing w:before="0" w:beforeAutospacing="0" w:after="0" w:afterAutospacing="0"/>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第十三条</w:t>
      </w:r>
      <w:r>
        <w:rPr>
          <w:rFonts w:hint="eastAsia" w:ascii="仿宋" w:hAnsi="仿宋" w:eastAsia="仿宋" w:cs="仿宋"/>
          <w:color w:val="000000" w:themeColor="text1"/>
          <w:sz w:val="32"/>
          <w:szCs w:val="32"/>
        </w:rPr>
        <w:t xml:space="preserve">  有下列情形之一的,依法从轻处罚:</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(1)主动消除或者减轻违法行为危害后果的;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ascii="仿宋" w:hAnsi="仿宋" w:eastAsia="仿宋" w:cs="仿宋"/>
          <w:color w:val="000000" w:themeColor="text1"/>
          <w:sz w:val="32"/>
          <w:szCs w:val="32"/>
        </w:rPr>
        <w:t xml:space="preserve"> 受他人胁迫实施违法行为的；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(3)在共同违法行为中起次要作用的;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w:t>
      </w:r>
      <w:r>
        <w:rPr>
          <w:rFonts w:ascii="仿宋" w:hAnsi="仿宋" w:eastAsia="仿宋" w:cs="仿宋"/>
          <w:color w:val="000000" w:themeColor="text1"/>
          <w:sz w:val="32"/>
          <w:szCs w:val="32"/>
        </w:rPr>
        <w:t>配合</w:t>
      </w:r>
      <w:r>
        <w:rPr>
          <w:rFonts w:hint="eastAsia" w:ascii="仿宋" w:hAnsi="仿宋" w:eastAsia="仿宋" w:cs="仿宋"/>
          <w:color w:val="000000" w:themeColor="text1"/>
          <w:sz w:val="32"/>
          <w:szCs w:val="32"/>
          <w:lang w:eastAsia="zh-CN"/>
        </w:rPr>
        <w:t>市场监督管理部门</w:t>
      </w:r>
      <w:r>
        <w:rPr>
          <w:rFonts w:ascii="仿宋" w:hAnsi="仿宋" w:eastAsia="仿宋" w:cs="仿宋"/>
          <w:color w:val="000000" w:themeColor="text1"/>
          <w:sz w:val="32"/>
          <w:szCs w:val="32"/>
        </w:rPr>
        <w:t>查处违法行为有立功表现的；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w:t>
      </w:r>
      <w:r>
        <w:rPr>
          <w:rFonts w:ascii="仿宋" w:hAnsi="仿宋" w:eastAsia="仿宋" w:cs="仿宋"/>
          <w:color w:val="000000" w:themeColor="text1"/>
          <w:sz w:val="32"/>
          <w:szCs w:val="32"/>
        </w:rPr>
        <w:t>积极配合市场监督管理部门如实交代违法事实并主动提供证据材料的；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w:t>
      </w:r>
      <w:r>
        <w:rPr>
          <w:rFonts w:ascii="仿宋" w:hAnsi="仿宋" w:eastAsia="仿宋" w:cs="仿宋"/>
          <w:color w:val="000000" w:themeColor="text1"/>
          <w:sz w:val="32"/>
          <w:szCs w:val="32"/>
        </w:rPr>
        <w:t>违法行为轻微，社会危害性较小的；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w:t>
      </w:r>
      <w:r>
        <w:rPr>
          <w:rFonts w:ascii="仿宋" w:hAnsi="仿宋" w:eastAsia="仿宋" w:cs="仿宋"/>
          <w:color w:val="000000" w:themeColor="text1"/>
          <w:sz w:val="32"/>
          <w:szCs w:val="32"/>
        </w:rPr>
        <w:t>在共同违法行为中起次要或者辅助作用的；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w:t>
      </w:r>
      <w:r>
        <w:rPr>
          <w:rFonts w:ascii="仿宋" w:hAnsi="仿宋" w:eastAsia="仿宋" w:cs="仿宋"/>
          <w:color w:val="000000" w:themeColor="text1"/>
          <w:sz w:val="32"/>
          <w:szCs w:val="32"/>
        </w:rPr>
        <w:t>违法行为人因残疾或者重大疾病等原因生活确有困难的；</w:t>
      </w:r>
    </w:p>
    <w:p>
      <w:pPr>
        <w:pStyle w:val="4"/>
        <w:spacing w:before="0" w:beforeAutospacing="0" w:after="0" w:afterAutospacing="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(9)法律、法规、规章规定的其他情形。</w:t>
      </w:r>
    </w:p>
    <w:p>
      <w:pPr>
        <w:widowControl/>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w:t>
      </w:r>
      <w:r>
        <w:rPr>
          <w:rFonts w:hint="eastAsia" w:ascii="仿宋" w:hAnsi="仿宋" w:eastAsia="仿宋" w:cs="仿宋"/>
          <w:b/>
          <w:bCs/>
          <w:color w:val="000000" w:themeColor="text1"/>
          <w:kern w:val="0"/>
          <w:sz w:val="32"/>
          <w:szCs w:val="32"/>
        </w:rPr>
        <w:t>第十四条</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有下列情形之一的，依法从重行政处罚：</w:t>
      </w:r>
    </w:p>
    <w:p>
      <w:pPr>
        <w:pStyle w:val="4"/>
        <w:shd w:val="clear" w:color="auto" w:fill="FFFFFF"/>
        <w:spacing w:before="0" w:beforeAutospacing="0" w:after="0" w:afterAutospacing="0"/>
        <w:ind w:firstLine="640" w:firstLineChars="20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（1）违法行为危害国家安全、公共安全，扰乱公共秩序的；</w:t>
      </w:r>
    </w:p>
    <w:p>
      <w:pPr>
        <w:pStyle w:val="4"/>
        <w:shd w:val="clear" w:color="auto" w:fill="FFFFFF"/>
        <w:spacing w:before="0" w:beforeAutospacing="0" w:after="0" w:afterAutospacing="0"/>
        <w:ind w:firstLine="640" w:firstLineChars="20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（2）违法行为造成他人人身伤亡或者重大财产损失的；</w:t>
      </w:r>
    </w:p>
    <w:p>
      <w:pPr>
        <w:pStyle w:val="4"/>
        <w:shd w:val="clear" w:color="auto" w:fill="FFFFFF"/>
        <w:spacing w:before="0" w:beforeAutospacing="0" w:after="0" w:afterAutospacing="0"/>
        <w:ind w:firstLine="640" w:firstLineChars="20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（3）两年内曾因相同或者类似违法行为受过刑事处罚或者行政处罚的；</w:t>
      </w:r>
    </w:p>
    <w:p>
      <w:pPr>
        <w:pStyle w:val="4"/>
        <w:shd w:val="clear" w:color="auto" w:fill="FFFFFF"/>
        <w:spacing w:before="0" w:beforeAutospacing="0" w:after="0" w:afterAutospacing="0"/>
        <w:ind w:firstLine="640" w:firstLineChars="20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（4）阻碍行政执法人员依法执行职务或者对行政执法人员打击报复的；</w:t>
      </w:r>
    </w:p>
    <w:p>
      <w:pPr>
        <w:pStyle w:val="4"/>
        <w:shd w:val="clear" w:color="auto" w:fill="FFFFFF"/>
        <w:spacing w:before="0" w:beforeAutospacing="0" w:after="0" w:afterAutospacing="0"/>
        <w:ind w:firstLine="640" w:firstLineChars="20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（5）隐藏、转移、变卖、损毁市场监管部门依法查封、扣押的财物或者先行登记保存的证据的；</w:t>
      </w:r>
    </w:p>
    <w:p>
      <w:pPr>
        <w:pStyle w:val="4"/>
        <w:shd w:val="clear" w:color="auto" w:fill="FFFFFF"/>
        <w:spacing w:before="0" w:beforeAutospacing="0" w:after="0" w:afterAutospacing="0"/>
        <w:ind w:firstLine="800" w:firstLineChars="25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（6）伪造、隐匿、毁灭证据或者对投诉举报人、证人打击报复的；</w:t>
      </w:r>
    </w:p>
    <w:p>
      <w:pPr>
        <w:widowControl/>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(7)胁迫、诱骗他人或者教唆未成年人实施违法行为的;</w:t>
      </w:r>
    </w:p>
    <w:p>
      <w:pPr>
        <w:widowControl/>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(8)拒不采取改正、应急或者召回等措施,导致后果扩大的;</w:t>
      </w:r>
    </w:p>
    <w:p>
      <w:pPr>
        <w:widowControl/>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(9)在自然灾害、事故灾难、公共卫生事件等突发事件发生时期实施违法行为的;</w:t>
      </w:r>
    </w:p>
    <w:p>
      <w:pPr>
        <w:widowControl/>
        <w:shd w:val="clear" w:color="auto" w:fill="FFFFFF"/>
        <w:ind w:firstLine="480"/>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ascii="仿宋" w:hAnsi="仿宋" w:eastAsia="仿宋" w:cs="仿宋"/>
          <w:color w:val="000000" w:themeColor="text1"/>
          <w:kern w:val="0"/>
          <w:sz w:val="32"/>
          <w:szCs w:val="32"/>
        </w:rPr>
        <w:t>0</w:t>
      </w:r>
      <w:r>
        <w:rPr>
          <w:rFonts w:hint="eastAsia" w:ascii="仿宋" w:hAnsi="仿宋" w:eastAsia="仿宋" w:cs="仿宋"/>
          <w:color w:val="000000" w:themeColor="text1"/>
          <w:kern w:val="0"/>
          <w:sz w:val="32"/>
          <w:szCs w:val="32"/>
        </w:rPr>
        <w:t xml:space="preserve">）连续违法时间较长，或者涉案产品数量较多，或者涉案产品货值较大的； </w:t>
      </w:r>
    </w:p>
    <w:p>
      <w:pPr>
        <w:widowControl/>
        <w:ind w:firstLine="645"/>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ascii="仿宋" w:hAnsi="仿宋" w:eastAsia="仿宋" w:cs="仿宋"/>
          <w:color w:val="000000" w:themeColor="text1"/>
          <w:kern w:val="0"/>
          <w:sz w:val="32"/>
          <w:szCs w:val="32"/>
        </w:rPr>
        <w:t>1</w:t>
      </w:r>
      <w:r>
        <w:rPr>
          <w:rFonts w:hint="eastAsia" w:ascii="仿宋" w:hAnsi="仿宋" w:eastAsia="仿宋" w:cs="仿宋"/>
          <w:color w:val="000000" w:themeColor="text1"/>
          <w:kern w:val="0"/>
          <w:sz w:val="32"/>
          <w:szCs w:val="32"/>
        </w:rPr>
        <w:t>)法律、法规、规章规定的其他情形。</w:t>
      </w:r>
    </w:p>
    <w:p>
      <w:pPr>
        <w:widowControl/>
        <w:ind w:firstLine="645"/>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当事人违法行为具有前款规定的两项以上(含两项)情形的,</w:t>
      </w:r>
      <w:r>
        <w:rPr>
          <w:rFonts w:hint="eastAsia" w:ascii="仿宋" w:hAnsi="仿宋" w:eastAsia="仿宋" w:cs="仿宋"/>
          <w:color w:val="000000" w:themeColor="text1"/>
          <w:kern w:val="0"/>
          <w:sz w:val="32"/>
          <w:szCs w:val="32"/>
          <w:lang w:eastAsia="zh-CN"/>
        </w:rPr>
        <w:t>属于“情节严重”，相关实体法对“情节严重”有专门处罚内容和处罚幅度规定的，从其规定；相关实体法没有对“情节严重”作出专门处罚规定的，</w:t>
      </w:r>
      <w:r>
        <w:rPr>
          <w:rFonts w:hint="eastAsia" w:ascii="仿宋" w:hAnsi="仿宋" w:eastAsia="仿宋" w:cs="仿宋"/>
          <w:color w:val="000000" w:themeColor="text1"/>
          <w:kern w:val="0"/>
          <w:sz w:val="32"/>
          <w:szCs w:val="32"/>
        </w:rPr>
        <w:t>应当</w:t>
      </w:r>
      <w:r>
        <w:rPr>
          <w:rFonts w:hint="eastAsia" w:ascii="仿宋" w:hAnsi="仿宋" w:eastAsia="仿宋" w:cs="仿宋"/>
          <w:color w:val="000000" w:themeColor="text1"/>
          <w:kern w:val="0"/>
          <w:sz w:val="32"/>
          <w:szCs w:val="32"/>
          <w:lang w:val="en-US" w:eastAsia="zh-CN"/>
        </w:rPr>
        <w:t>按</w:t>
      </w:r>
      <w:r>
        <w:rPr>
          <w:rFonts w:hint="eastAsia" w:ascii="仿宋" w:hAnsi="仿宋" w:eastAsia="仿宋" w:cs="仿宋"/>
          <w:color w:val="000000" w:themeColor="text1"/>
          <w:kern w:val="0"/>
          <w:sz w:val="32"/>
          <w:szCs w:val="32"/>
        </w:rPr>
        <w:t>处罚幅度上限实施处罚。</w:t>
      </w:r>
    </w:p>
    <w:p>
      <w:pPr>
        <w:widowControl/>
        <w:shd w:val="clear" w:color="auto" w:fill="FFFFFF"/>
        <w:ind w:firstLine="482"/>
        <w:rPr>
          <w:rFonts w:ascii="方正仿宋简体" w:hAnsi="宋体" w:eastAsia="方正仿宋简体"/>
          <w:color w:val="333333"/>
          <w:kern w:val="0"/>
          <w:sz w:val="32"/>
          <w:szCs w:val="32"/>
        </w:rPr>
      </w:pPr>
      <w:r>
        <w:rPr>
          <w:rFonts w:hint="eastAsia" w:ascii="仿宋" w:hAnsi="仿宋" w:eastAsia="仿宋" w:cs="仿宋"/>
          <w:b/>
          <w:bCs/>
          <w:color w:val="000000" w:themeColor="text1"/>
          <w:kern w:val="0"/>
          <w:sz w:val="32"/>
          <w:szCs w:val="32"/>
        </w:rPr>
        <w:t>第十五条</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除第十一条至第十四条所列不予处罚、减轻处罚、从轻处罚、从重处罚以外的其他应予行政处罚的情形为一般处罚情形，给予一般行政处罚，其罚款幅度数额</w:t>
      </w:r>
      <w:r>
        <w:rPr>
          <w:rFonts w:hint="eastAsia" w:ascii="仿宋" w:hAnsi="仿宋" w:eastAsia="仿宋" w:cs="仿宋"/>
          <w:color w:val="000000" w:themeColor="text1"/>
          <w:kern w:val="0"/>
          <w:sz w:val="32"/>
          <w:szCs w:val="32"/>
          <w:lang w:eastAsia="zh-CN"/>
        </w:rPr>
        <w:t>（倍数）</w:t>
      </w:r>
      <w:r>
        <w:rPr>
          <w:rFonts w:hint="eastAsia" w:ascii="仿宋" w:hAnsi="仿宋" w:eastAsia="仿宋" w:cs="仿宋"/>
          <w:color w:val="000000" w:themeColor="text1"/>
          <w:kern w:val="0"/>
          <w:sz w:val="32"/>
          <w:szCs w:val="32"/>
        </w:rPr>
        <w:t>按照第六条规定确定。</w:t>
      </w:r>
    </w:p>
    <w:p>
      <w:pPr>
        <w:widowControl/>
        <w:ind w:firstLine="645"/>
        <w:jc w:val="left"/>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lang w:eastAsia="zh-CN"/>
        </w:rPr>
        <w:t>第十六条</w:t>
      </w:r>
      <w:r>
        <w:rPr>
          <w:rFonts w:hint="eastAsia" w:ascii="仿宋" w:hAnsi="仿宋" w:eastAsia="仿宋" w:cs="仿宋"/>
          <w:color w:val="000000" w:themeColor="text1"/>
          <w:kern w:val="0"/>
          <w:sz w:val="32"/>
          <w:szCs w:val="32"/>
          <w:lang w:val="en-US" w:eastAsia="zh-CN"/>
        </w:rPr>
        <w:t xml:space="preserve"> </w:t>
      </w:r>
      <w:r>
        <w:rPr>
          <w:rFonts w:ascii="仿宋" w:hAnsi="仿宋" w:eastAsia="仿宋" w:cs="仿宋"/>
          <w:color w:val="000000" w:themeColor="text1"/>
          <w:kern w:val="0"/>
          <w:sz w:val="32"/>
          <w:szCs w:val="32"/>
        </w:rPr>
        <w:t>违法行为人既有从轻或者减轻行政处罚情节，又有从重行政处罚情节的，市场监督管理部门应当结合案件情况综合考虑后作出裁量决定。</w:t>
      </w:r>
    </w:p>
    <w:p>
      <w:pPr>
        <w:widowControl/>
        <w:ind w:firstLine="645"/>
        <w:jc w:val="left"/>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第十</w:t>
      </w:r>
      <w:r>
        <w:rPr>
          <w:rFonts w:hint="eastAsia" w:ascii="仿宋" w:hAnsi="仿宋" w:eastAsia="仿宋" w:cs="仿宋"/>
          <w:b/>
          <w:bCs/>
          <w:color w:val="000000" w:themeColor="text1"/>
          <w:kern w:val="0"/>
          <w:sz w:val="32"/>
          <w:szCs w:val="32"/>
          <w:lang w:eastAsia="zh-CN"/>
        </w:rPr>
        <w:t>七</w:t>
      </w:r>
      <w:r>
        <w:rPr>
          <w:rFonts w:hint="eastAsia" w:ascii="仿宋" w:hAnsi="仿宋" w:eastAsia="仿宋" w:cs="仿宋"/>
          <w:b/>
          <w:bCs/>
          <w:color w:val="000000" w:themeColor="text1"/>
          <w:kern w:val="0"/>
          <w:sz w:val="32"/>
          <w:szCs w:val="32"/>
        </w:rPr>
        <w:t>条</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各级市监督管理部门在行政执法办案中应当合法、及时、客观、全面收集与裁量情节相关的证据，严格依据证据准确认定裁量情节，合理适用裁量标准。</w:t>
      </w:r>
    </w:p>
    <w:p>
      <w:pPr>
        <w:widowControl/>
        <w:ind w:firstLine="643" w:firstLineChars="200"/>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第十</w:t>
      </w:r>
      <w:r>
        <w:rPr>
          <w:rFonts w:hint="eastAsia" w:ascii="仿宋" w:hAnsi="仿宋" w:eastAsia="仿宋" w:cs="仿宋"/>
          <w:b/>
          <w:bCs/>
          <w:color w:val="000000" w:themeColor="text1"/>
          <w:kern w:val="0"/>
          <w:sz w:val="32"/>
          <w:szCs w:val="32"/>
          <w:lang w:eastAsia="zh-CN"/>
        </w:rPr>
        <w:t>八</w:t>
      </w:r>
      <w:r>
        <w:rPr>
          <w:rFonts w:hint="eastAsia" w:ascii="仿宋" w:hAnsi="仿宋" w:eastAsia="仿宋" w:cs="仿宋"/>
          <w:b/>
          <w:bCs/>
          <w:color w:val="000000" w:themeColor="text1"/>
          <w:kern w:val="0"/>
          <w:sz w:val="32"/>
          <w:szCs w:val="32"/>
        </w:rPr>
        <w:t>条</w:t>
      </w:r>
      <w:r>
        <w:rPr>
          <w:rFonts w:hint="eastAsia" w:ascii="仿宋" w:hAnsi="仿宋" w:eastAsia="仿宋" w:cs="仿宋"/>
          <w:color w:val="000000" w:themeColor="text1"/>
          <w:kern w:val="0"/>
          <w:sz w:val="32"/>
          <w:szCs w:val="32"/>
        </w:rPr>
        <w:t xml:space="preserve"> 在案件调查终结报告、案件讨论记录、行政处罚决定书等文书中应当将行政处罚自由裁量权的情况进行表述，适用从轻、从重处罚的,应当具有相应情节的证据并说明理由。</w:t>
      </w:r>
    </w:p>
    <w:p>
      <w:pPr>
        <w:widowControl/>
        <w:shd w:val="clear" w:color="auto" w:fill="FFFFFF"/>
        <w:ind w:firstLine="480"/>
        <w:jc w:val="left"/>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 xml:space="preserve"> 第十</w:t>
      </w:r>
      <w:r>
        <w:rPr>
          <w:rFonts w:hint="eastAsia" w:ascii="仿宋" w:hAnsi="仿宋" w:eastAsia="仿宋" w:cs="仿宋"/>
          <w:b/>
          <w:bCs/>
          <w:color w:val="000000" w:themeColor="text1"/>
          <w:kern w:val="0"/>
          <w:sz w:val="32"/>
          <w:szCs w:val="32"/>
          <w:lang w:eastAsia="zh-CN"/>
        </w:rPr>
        <w:t>九</w:t>
      </w:r>
      <w:r>
        <w:rPr>
          <w:rFonts w:hint="eastAsia" w:ascii="仿宋" w:hAnsi="仿宋" w:eastAsia="仿宋" w:cs="仿宋"/>
          <w:b/>
          <w:bCs/>
          <w:color w:val="000000" w:themeColor="text1"/>
          <w:kern w:val="0"/>
          <w:sz w:val="32"/>
          <w:szCs w:val="32"/>
        </w:rPr>
        <w:t>条</w:t>
      </w:r>
      <w:r>
        <w:rPr>
          <w:rFonts w:hint="eastAsia" w:ascii="仿宋" w:hAnsi="仿宋" w:eastAsia="仿宋" w:cs="仿宋"/>
          <w:color w:val="000000" w:themeColor="text1"/>
          <w:kern w:val="0"/>
          <w:sz w:val="32"/>
          <w:szCs w:val="32"/>
        </w:rPr>
        <w:t xml:space="preserve"> 行政处罚裁量基准，可以作为行政处罚决定说理的依据，但不得直接作为行政处罚的法律依据，不得在行政处罚告知书、决定书中援引。</w:t>
      </w:r>
    </w:p>
    <w:p>
      <w:pPr>
        <w:pStyle w:val="4"/>
        <w:shd w:val="clear" w:color="auto" w:fill="FFFFFF"/>
        <w:spacing w:before="0" w:beforeAutospacing="0" w:after="0" w:afterAutospacing="0"/>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w:t>
      </w:r>
      <w:r>
        <w:rPr>
          <w:rFonts w:hint="eastAsia" w:ascii="仿宋" w:hAnsi="仿宋" w:eastAsia="仿宋" w:cs="仿宋"/>
          <w:b/>
          <w:bCs/>
          <w:color w:val="000000" w:themeColor="text1"/>
          <w:sz w:val="32"/>
          <w:szCs w:val="32"/>
          <w:lang w:eastAsia="zh-CN"/>
        </w:rPr>
        <w:t>二十</w:t>
      </w:r>
      <w:r>
        <w:rPr>
          <w:rFonts w:hint="eastAsia" w:ascii="仿宋" w:hAnsi="仿宋" w:eastAsia="仿宋" w:cs="仿宋"/>
          <w:b/>
          <w:bCs/>
          <w:color w:val="000000" w:themeColor="text1"/>
          <w:sz w:val="32"/>
          <w:szCs w:val="32"/>
        </w:rPr>
        <w:t>条</w:t>
      </w:r>
      <w:r>
        <w:rPr>
          <w:rFonts w:hint="eastAsia" w:ascii="仿宋" w:hAnsi="仿宋" w:eastAsia="仿宋" w:cs="仿宋"/>
          <w:color w:val="000000" w:themeColor="text1"/>
          <w:sz w:val="32"/>
          <w:szCs w:val="32"/>
        </w:rPr>
        <w:t xml:space="preserve"> 处罚裁量基准的制定应当根据法律、法规、规章的变化或者执法工作的实际情况，及时补充、修订,并及时向社会重新公布。</w:t>
      </w:r>
    </w:p>
    <w:p>
      <w:pPr>
        <w:widowControl/>
        <w:ind w:firstLine="680"/>
        <w:jc w:val="left"/>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第二十</w:t>
      </w:r>
      <w:r>
        <w:rPr>
          <w:rFonts w:hint="eastAsia" w:ascii="仿宋" w:hAnsi="仿宋" w:eastAsia="仿宋" w:cs="仿宋"/>
          <w:b/>
          <w:bCs/>
          <w:color w:val="000000" w:themeColor="text1"/>
          <w:kern w:val="0"/>
          <w:sz w:val="32"/>
          <w:szCs w:val="32"/>
          <w:lang w:eastAsia="zh-CN"/>
        </w:rPr>
        <w:t>一</w:t>
      </w:r>
      <w:r>
        <w:rPr>
          <w:rFonts w:hint="eastAsia" w:ascii="仿宋" w:hAnsi="仿宋" w:eastAsia="仿宋" w:cs="仿宋"/>
          <w:b/>
          <w:bCs/>
          <w:color w:val="000000" w:themeColor="text1"/>
          <w:kern w:val="0"/>
          <w:sz w:val="32"/>
          <w:szCs w:val="32"/>
        </w:rPr>
        <w:t>条</w:t>
      </w: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eastAsia="zh-CN"/>
        </w:rPr>
        <w:t>河南</w:t>
      </w:r>
      <w:r>
        <w:rPr>
          <w:rFonts w:hint="eastAsia" w:ascii="仿宋" w:hAnsi="仿宋" w:eastAsia="仿宋" w:cs="仿宋"/>
          <w:color w:val="000000" w:themeColor="text1"/>
          <w:kern w:val="0"/>
          <w:sz w:val="32"/>
          <w:szCs w:val="32"/>
        </w:rPr>
        <w:t>省市场监督管理行政处罚自由裁量权基准（试行）》中有关自由裁量权的规定中，所称“以下”、“不超过”、“达到”包括本数；“以上”、“超过”、“不足”、“未达到”不包括本数。</w:t>
      </w:r>
    </w:p>
    <w:p>
      <w:pPr>
        <w:widowControl/>
        <w:ind w:firstLine="680"/>
        <w:jc w:val="left"/>
        <w:rPr>
          <w:rFonts w:hint="eastAsia" w:ascii="仿宋" w:hAnsi="仿宋" w:eastAsia="仿宋" w:cs="仿宋"/>
          <w:color w:val="000000" w:themeColor="text1"/>
          <w:kern w:val="0"/>
          <w:sz w:val="32"/>
          <w:szCs w:val="32"/>
          <w:lang w:eastAsia="zh-CN"/>
        </w:rPr>
      </w:pPr>
      <w:r>
        <w:rPr>
          <w:rFonts w:hint="eastAsia" w:ascii="仿宋" w:hAnsi="仿宋" w:eastAsia="仿宋" w:cs="仿宋"/>
          <w:b/>
          <w:bCs/>
          <w:color w:val="000000" w:themeColor="text1"/>
          <w:kern w:val="0"/>
          <w:sz w:val="32"/>
          <w:szCs w:val="32"/>
          <w:lang w:eastAsia="zh-CN"/>
        </w:rPr>
        <w:t>第二十二条</w:t>
      </w:r>
      <w:r>
        <w:rPr>
          <w:rFonts w:hint="eastAsia" w:ascii="仿宋" w:hAnsi="仿宋" w:eastAsia="仿宋" w:cs="仿宋"/>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lang w:eastAsia="zh-CN"/>
        </w:rPr>
        <w:t>河南</w:t>
      </w:r>
      <w:r>
        <w:rPr>
          <w:rFonts w:hint="eastAsia" w:ascii="仿宋" w:hAnsi="仿宋" w:eastAsia="仿宋" w:cs="仿宋"/>
          <w:color w:val="000000" w:themeColor="text1"/>
          <w:kern w:val="0"/>
          <w:sz w:val="32"/>
          <w:szCs w:val="32"/>
        </w:rPr>
        <w:t>省市场监督管理行政处罚自由裁量权基准（试行）》</w:t>
      </w:r>
      <w:r>
        <w:rPr>
          <w:rFonts w:hint="eastAsia" w:ascii="仿宋" w:hAnsi="仿宋" w:eastAsia="仿宋" w:cs="仿宋"/>
          <w:color w:val="000000" w:themeColor="text1"/>
          <w:kern w:val="0"/>
          <w:sz w:val="32"/>
          <w:szCs w:val="32"/>
          <w:lang w:eastAsia="zh-CN"/>
        </w:rPr>
        <w:t>中各项裁量基准应坚持</w:t>
      </w:r>
      <w:r>
        <w:rPr>
          <w:rFonts w:hint="eastAsia" w:ascii="仿宋" w:hAnsi="仿宋" w:eastAsia="仿宋" w:cs="仿宋"/>
          <w:color w:val="000000" w:themeColor="text1"/>
          <w:kern w:val="0"/>
          <w:sz w:val="32"/>
          <w:szCs w:val="32"/>
        </w:rPr>
        <w:t>上位法优于下位法</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特殊法优于普通法</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新法优于旧法</w:t>
      </w:r>
      <w:r>
        <w:rPr>
          <w:rFonts w:hint="eastAsia" w:ascii="仿宋" w:hAnsi="仿宋" w:eastAsia="仿宋" w:cs="仿宋"/>
          <w:color w:val="000000" w:themeColor="text1"/>
          <w:kern w:val="0"/>
          <w:sz w:val="32"/>
          <w:szCs w:val="32"/>
          <w:lang w:eastAsia="zh-CN"/>
        </w:rPr>
        <w:t>的法律适用原则。但当旧法的罚则内容相对新法更有利于相对人时，应适用旧法的规定。</w:t>
      </w:r>
    </w:p>
    <w:p>
      <w:pPr>
        <w:pStyle w:val="4"/>
        <w:spacing w:before="0" w:beforeAutospacing="0" w:after="0" w:afterAutospacing="0"/>
        <w:ind w:firstLine="803" w:firstLineChars="25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w:t>
      </w:r>
      <w:r>
        <w:rPr>
          <w:rFonts w:hint="eastAsia" w:ascii="仿宋" w:hAnsi="仿宋" w:eastAsia="仿宋" w:cs="仿宋"/>
          <w:b/>
          <w:bCs/>
          <w:color w:val="000000" w:themeColor="text1"/>
          <w:sz w:val="32"/>
          <w:szCs w:val="32"/>
          <w:lang w:eastAsia="zh-CN"/>
        </w:rPr>
        <w:t>三</w:t>
      </w:r>
      <w:r>
        <w:rPr>
          <w:rFonts w:hint="eastAsia" w:ascii="仿宋" w:hAnsi="仿宋" w:eastAsia="仿宋" w:cs="仿宋"/>
          <w:b/>
          <w:bCs/>
          <w:color w:val="000000" w:themeColor="text1"/>
          <w:sz w:val="32"/>
          <w:szCs w:val="32"/>
        </w:rPr>
        <w:t>条</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eastAsia="zh-CN"/>
        </w:rPr>
        <w:t>河南</w:t>
      </w:r>
      <w:r>
        <w:rPr>
          <w:rFonts w:hint="eastAsia" w:ascii="仿宋" w:hAnsi="仿宋" w:eastAsia="仿宋" w:cs="仿宋"/>
          <w:color w:val="000000" w:themeColor="text1"/>
          <w:sz w:val="32"/>
          <w:szCs w:val="32"/>
        </w:rPr>
        <w:t>省市场监督管理行政处罚自由裁量权基准（试行）》中具体裁量标准没有规定或者规定不明的,应当参照本规定执行。</w:t>
      </w:r>
    </w:p>
    <w:p>
      <w:pPr>
        <w:pStyle w:val="4"/>
        <w:spacing w:before="0" w:beforeAutospacing="0" w:after="0" w:afterAutospacing="0"/>
        <w:ind w:firstLine="803" w:firstLineChars="25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第二十二条 </w:t>
      </w:r>
      <w:r>
        <w:rPr>
          <w:rFonts w:ascii="仿宋" w:hAnsi="仿宋" w:eastAsia="仿宋" w:cs="仿宋"/>
          <w:b/>
          <w:bCs/>
          <w:color w:val="000000" w:themeColor="text1"/>
          <w:sz w:val="32"/>
          <w:szCs w:val="32"/>
        </w:rPr>
        <w:t xml:space="preserve"> </w:t>
      </w:r>
      <w:r>
        <w:rPr>
          <w:rFonts w:hint="eastAsia" w:ascii="仿宋" w:hAnsi="仿宋" w:eastAsia="仿宋" w:cs="仿宋"/>
          <w:color w:val="000000" w:themeColor="text1"/>
          <w:sz w:val="32"/>
          <w:szCs w:val="32"/>
        </w:rPr>
        <w:t>本规定</w:t>
      </w:r>
      <w:r>
        <w:rPr>
          <w:rFonts w:hint="eastAsia" w:ascii="仿宋" w:hAnsi="仿宋" w:eastAsia="仿宋" w:cs="仿宋"/>
          <w:color w:val="000000" w:themeColor="text1"/>
          <w:sz w:val="32"/>
          <w:szCs w:val="32"/>
          <w:lang w:eastAsia="zh-CN"/>
        </w:rPr>
        <w:t>连同其附件</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河南</w:t>
      </w:r>
      <w:r>
        <w:rPr>
          <w:rFonts w:hint="eastAsia" w:ascii="仿宋" w:hAnsi="仿宋" w:eastAsia="仿宋" w:cs="仿宋"/>
          <w:color w:val="000000" w:themeColor="text1"/>
          <w:sz w:val="32"/>
          <w:szCs w:val="32"/>
        </w:rPr>
        <w:t>省市场监督管理行政处罚自由裁量权基准（试行）》自2</w:t>
      </w:r>
      <w:r>
        <w:rPr>
          <w:rFonts w:ascii="仿宋" w:hAnsi="仿宋" w:eastAsia="仿宋" w:cs="仿宋"/>
          <w:color w:val="000000" w:themeColor="text1"/>
          <w:sz w:val="32"/>
          <w:szCs w:val="32"/>
        </w:rPr>
        <w:t>020</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2</w:t>
      </w:r>
      <w:bookmarkStart w:id="0" w:name="_GoBack"/>
      <w:bookmarkEnd w:id="0"/>
      <w:r>
        <w:rPr>
          <w:rFonts w:hint="eastAsia" w:ascii="仿宋" w:hAnsi="仿宋" w:eastAsia="仿宋" w:cs="仿宋"/>
          <w:color w:val="000000" w:themeColor="text1"/>
          <w:sz w:val="32"/>
          <w:szCs w:val="32"/>
        </w:rPr>
        <w:t>月1日起实施。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161F"/>
    <w:rsid w:val="00006775"/>
    <w:rsid w:val="00010F1C"/>
    <w:rsid w:val="000752F0"/>
    <w:rsid w:val="000C4C56"/>
    <w:rsid w:val="000C5F02"/>
    <w:rsid w:val="00116A68"/>
    <w:rsid w:val="0018752A"/>
    <w:rsid w:val="001C3B7B"/>
    <w:rsid w:val="001C70C6"/>
    <w:rsid w:val="0025369E"/>
    <w:rsid w:val="0025374A"/>
    <w:rsid w:val="002D2A66"/>
    <w:rsid w:val="0031272D"/>
    <w:rsid w:val="0032055A"/>
    <w:rsid w:val="0034332D"/>
    <w:rsid w:val="003B161F"/>
    <w:rsid w:val="003F7CE4"/>
    <w:rsid w:val="00491BD9"/>
    <w:rsid w:val="00496ECB"/>
    <w:rsid w:val="004B17D3"/>
    <w:rsid w:val="004D0567"/>
    <w:rsid w:val="004D7926"/>
    <w:rsid w:val="00515093"/>
    <w:rsid w:val="005500ED"/>
    <w:rsid w:val="00556625"/>
    <w:rsid w:val="005C26B0"/>
    <w:rsid w:val="006347C8"/>
    <w:rsid w:val="006B171B"/>
    <w:rsid w:val="00716066"/>
    <w:rsid w:val="0073287A"/>
    <w:rsid w:val="00890A89"/>
    <w:rsid w:val="008C223C"/>
    <w:rsid w:val="009260D9"/>
    <w:rsid w:val="009A14DD"/>
    <w:rsid w:val="00A62DEC"/>
    <w:rsid w:val="00A6357C"/>
    <w:rsid w:val="00A74993"/>
    <w:rsid w:val="00AA723E"/>
    <w:rsid w:val="00B10E99"/>
    <w:rsid w:val="00B329A4"/>
    <w:rsid w:val="00B603F4"/>
    <w:rsid w:val="00BC69D2"/>
    <w:rsid w:val="00BD47CF"/>
    <w:rsid w:val="00C00DFD"/>
    <w:rsid w:val="00C35528"/>
    <w:rsid w:val="00C62E55"/>
    <w:rsid w:val="00C74934"/>
    <w:rsid w:val="00CB4D07"/>
    <w:rsid w:val="00D26DD4"/>
    <w:rsid w:val="00D8732A"/>
    <w:rsid w:val="00E27308"/>
    <w:rsid w:val="00EE1ACB"/>
    <w:rsid w:val="00F06CD3"/>
    <w:rsid w:val="257875E1"/>
    <w:rsid w:val="2AFC6B3D"/>
    <w:rsid w:val="320A4879"/>
    <w:rsid w:val="4C487A71"/>
    <w:rsid w:val="4DBD1476"/>
    <w:rsid w:val="61D64EDF"/>
    <w:rsid w:val="64A62BAA"/>
    <w:rsid w:val="668B2696"/>
    <w:rsid w:val="6CAD2F45"/>
    <w:rsid w:val="6EA10942"/>
    <w:rsid w:val="71B65EF8"/>
    <w:rsid w:val="77EF59B4"/>
    <w:rsid w:val="7F02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FollowedHyperlink"/>
    <w:basedOn w:val="6"/>
    <w:semiHidden/>
    <w:unhideWhenUsed/>
    <w:qFormat/>
    <w:uiPriority w:val="99"/>
    <w:rPr>
      <w:color w:val="000000"/>
      <w:u w:val="none"/>
    </w:rPr>
  </w:style>
  <w:style w:type="character" w:styleId="8">
    <w:name w:val="Hyperlink"/>
    <w:basedOn w:val="6"/>
    <w:semiHidden/>
    <w:unhideWhenUsed/>
    <w:qFormat/>
    <w:uiPriority w:val="99"/>
    <w:rPr>
      <w:color w:val="000000"/>
      <w:u w:val="none"/>
    </w:rPr>
  </w:style>
  <w:style w:type="paragraph" w:customStyle="1" w:styleId="9">
    <w:name w:val="正文1"/>
    <w:qFormat/>
    <w:uiPriority w:val="0"/>
    <w:pPr>
      <w:jc w:val="both"/>
    </w:pPr>
    <w:rPr>
      <w:rFonts w:ascii="Calibri" w:hAnsi="Calibri" w:eastAsia="宋体" w:cs="宋体"/>
      <w:kern w:val="2"/>
      <w:sz w:val="21"/>
      <w:szCs w:val="21"/>
      <w:lang w:val="en-US" w:eastAsia="zh-CN" w:bidi="ar-SA"/>
    </w:rPr>
  </w:style>
  <w:style w:type="character" w:customStyle="1" w:styleId="10">
    <w:name w:val="lbx"/>
    <w:basedOn w:val="6"/>
    <w:qFormat/>
    <w:uiPriority w:val="0"/>
  </w:style>
  <w:style w:type="character" w:customStyle="1" w:styleId="11">
    <w:name w:val="rbx"/>
    <w:basedOn w:val="6"/>
    <w:qFormat/>
    <w:uiPriority w:val="0"/>
  </w:style>
  <w:style w:type="character" w:customStyle="1" w:styleId="12">
    <w:name w:val="rbx1"/>
    <w:basedOn w:val="6"/>
    <w:qFormat/>
    <w:uiPriority w:val="0"/>
  </w:style>
  <w:style w:type="character" w:customStyle="1" w:styleId="13">
    <w:name w:val="rbx2"/>
    <w:basedOn w:val="6"/>
    <w:qFormat/>
    <w:uiPriority w:val="0"/>
  </w:style>
  <w:style w:type="character" w:customStyle="1" w:styleId="14">
    <w:name w:val="rbx3"/>
    <w:basedOn w:val="6"/>
    <w:qFormat/>
    <w:uiPriority w:val="0"/>
  </w:style>
  <w:style w:type="character" w:customStyle="1" w:styleId="15">
    <w:name w:val="rbx4"/>
    <w:basedOn w:val="6"/>
    <w:qFormat/>
    <w:uiPriority w:val="0"/>
  </w:style>
  <w:style w:type="character" w:customStyle="1" w:styleId="16">
    <w:name w:val="页眉 字符"/>
    <w:basedOn w:val="6"/>
    <w:link w:val="3"/>
    <w:qFormat/>
    <w:uiPriority w:val="99"/>
    <w:rPr>
      <w:rFonts w:ascii="Calibri" w:hAnsi="Calibri" w:eastAsia="宋体" w:cs="Times New Roman"/>
      <w:kern w:val="2"/>
      <w:sz w:val="18"/>
      <w:szCs w:val="18"/>
    </w:rPr>
  </w:style>
  <w:style w:type="character" w:customStyle="1" w:styleId="17">
    <w:name w:val="页脚 字符"/>
    <w:basedOn w:val="6"/>
    <w:link w:val="2"/>
    <w:qFormat/>
    <w:uiPriority w:val="99"/>
    <w:rPr>
      <w:rFonts w:ascii="Calibri" w:hAnsi="Calibri" w:eastAsia="宋体" w:cs="Times New Roman"/>
      <w:kern w:val="2"/>
      <w:sz w:val="18"/>
      <w:szCs w:val="18"/>
    </w:rPr>
  </w:style>
  <w:style w:type="character" w:customStyle="1" w:styleId="18">
    <w:name w:val="bjh-p"/>
    <w:basedOn w:val="6"/>
    <w:qFormat/>
    <w:uiPriority w:val="0"/>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6</Pages>
  <Words>380</Words>
  <Characters>2172</Characters>
  <Lines>18</Lines>
  <Paragraphs>5</Paragraphs>
  <TotalTime>5</TotalTime>
  <ScaleCrop>false</ScaleCrop>
  <LinksUpToDate>false</LinksUpToDate>
  <CharactersWithSpaces>2547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2019-07-30T10:58:00Z</dcterms:created>
  <dc:creator>Administrator</dc:creator>
  <cp:lastModifiedBy>刘乐乐</cp:lastModifiedBy>
  <cp:lastPrinted>2019-09-25T02:12:00Z</cp:lastPrinted>
  <dcterms:modified xsi:type="dcterms:W3CDTF">2019-12-15T09:52:39Z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