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、亚硝酸盐(以亚硝酸钠计)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8" w:firstLineChars="200"/>
        <w:textAlignment w:val="auto"/>
        <w:rPr>
          <w:rFonts w:hint="eastAsia" w:ascii="仿宋" w:hAnsi="仿宋" w:eastAsia="仿宋" w:cs="仿宋"/>
          <w:color w:val="auto"/>
          <w:sz w:val="32"/>
          <w:szCs w:val="32"/>
          <w:highlight w:val="none"/>
          <w:lang w:val="en-US" w:eastAsia="zh-CN"/>
        </w:rPr>
      </w:pPr>
      <w:r>
        <w:rPr>
          <w:rFonts w:ascii="Times New Roman" w:hAnsi="Times New Roman" w:eastAsia="仿宋_GB2312"/>
          <w:spacing w:val="2"/>
          <w:kern w:val="0"/>
          <w:sz w:val="32"/>
          <w:szCs w:val="32"/>
        </w:rPr>
        <w:t>亚硝酸盐，是一类无机化合物的总称，</w:t>
      </w:r>
      <w:r>
        <w:rPr>
          <w:rFonts w:hint="eastAsia" w:ascii="Times New Roman" w:hAnsi="Times New Roman" w:eastAsia="仿宋_GB2312"/>
          <w:spacing w:val="2"/>
          <w:kern w:val="0"/>
          <w:sz w:val="32"/>
          <w:szCs w:val="32"/>
        </w:rPr>
        <w:t>以</w:t>
      </w:r>
      <w:r>
        <w:rPr>
          <w:rFonts w:ascii="Times New Roman" w:hAnsi="Times New Roman" w:eastAsia="仿宋_GB2312"/>
          <w:spacing w:val="2"/>
          <w:kern w:val="0"/>
          <w:sz w:val="32"/>
          <w:szCs w:val="32"/>
        </w:rPr>
        <w:t>亚硝酸钠最</w:t>
      </w:r>
      <w:r>
        <w:rPr>
          <w:rFonts w:hint="eastAsia" w:ascii="Times New Roman" w:hAnsi="Times New Roman" w:eastAsia="仿宋_GB2312"/>
          <w:spacing w:val="2"/>
          <w:kern w:val="0"/>
          <w:sz w:val="32"/>
          <w:szCs w:val="32"/>
        </w:rPr>
        <w:t>为</w:t>
      </w:r>
      <w:r>
        <w:rPr>
          <w:rFonts w:ascii="Times New Roman" w:hAnsi="Times New Roman" w:eastAsia="仿宋_GB2312"/>
          <w:spacing w:val="2"/>
          <w:kern w:val="0"/>
          <w:sz w:val="32"/>
          <w:szCs w:val="32"/>
        </w:rPr>
        <w:t>常见，</w:t>
      </w:r>
      <w:r>
        <w:rPr>
          <w:rFonts w:hint="eastAsia" w:ascii="Times New Roman" w:hAnsi="Times New Roman" w:eastAsia="仿宋_GB2312"/>
          <w:spacing w:val="2"/>
          <w:kern w:val="0"/>
          <w:sz w:val="32"/>
          <w:szCs w:val="32"/>
        </w:rPr>
        <w:t>是自然界中普遍存在的含氮无机化合物</w:t>
      </w:r>
      <w:r>
        <w:rPr>
          <w:rFonts w:ascii="Times New Roman" w:hAnsi="Times New Roman" w:eastAsia="仿宋_GB2312"/>
          <w:spacing w:val="2"/>
          <w:kern w:val="0"/>
          <w:sz w:val="32"/>
          <w:szCs w:val="32"/>
        </w:rPr>
        <w:t>。</w:t>
      </w:r>
      <w:r>
        <w:rPr>
          <w:rFonts w:hint="eastAsia" w:ascii="仿宋" w:hAnsi="仿宋" w:eastAsia="仿宋" w:cs="仿宋"/>
          <w:sz w:val="32"/>
          <w:szCs w:val="32"/>
        </w:rPr>
        <w:t>亚硝酸盐</w:t>
      </w:r>
      <w:r>
        <w:rPr>
          <w:rFonts w:ascii="仿宋_GB2312" w:hAnsi="宋体" w:eastAsia="仿宋_GB2312" w:cs="仿宋_GB2312"/>
          <w:color w:val="000000"/>
          <w:kern w:val="0"/>
          <w:sz w:val="31"/>
          <w:szCs w:val="31"/>
          <w:lang w:bidi="ar"/>
        </w:rPr>
        <w:t>是一种护色剂、防腐剂，</w:t>
      </w:r>
      <w:r>
        <w:rPr>
          <w:rFonts w:hint="eastAsia" w:ascii="仿宋" w:hAnsi="仿宋" w:eastAsia="仿宋" w:cs="仿宋"/>
          <w:sz w:val="32"/>
          <w:szCs w:val="32"/>
        </w:rPr>
        <w:t>一般用于发色作用，使肉制品呈现诱人的鲜红色，提高产品的商品性，此外还有抗氧化和防腐等功效。原卫生部、原国家食品药品监督管理</w:t>
      </w:r>
      <w:r>
        <w:rPr>
          <w:rFonts w:hint="eastAsia" w:ascii="仿宋" w:hAnsi="仿宋" w:eastAsia="仿宋" w:cs="仿宋"/>
          <w:sz w:val="32"/>
          <w:szCs w:val="32"/>
          <w:lang w:eastAsia="zh-CN"/>
        </w:rPr>
        <w:t>总</w:t>
      </w:r>
      <w:r>
        <w:rPr>
          <w:rFonts w:hint="eastAsia" w:ascii="仿宋" w:hAnsi="仿宋" w:eastAsia="仿宋" w:cs="仿宋"/>
          <w:sz w:val="32"/>
          <w:szCs w:val="32"/>
        </w:rPr>
        <w:t>局2012年第10号公告规定，禁止餐饮服务单位采购、贮存、使用食品添加剂亚硝酸盐（亚硝酸钠、亚硝酸钾）</w:t>
      </w:r>
      <w:r>
        <w:rPr>
          <w:rFonts w:hint="eastAsia" w:ascii="仿宋" w:hAnsi="仿宋" w:eastAsia="仿宋" w:cs="仿宋"/>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4-氯苯氧乙酸钠（以4-氯苯氧乙酸计）</w:t>
      </w:r>
    </w:p>
    <w:p>
      <w:pPr>
        <w:keepNext w:val="0"/>
        <w:keepLines w:val="0"/>
        <w:pageBreakBefore w:val="0"/>
        <w:numPr>
          <w:ilvl w:val="0"/>
          <w:numId w:val="1"/>
        </w:numPr>
        <w:kinsoku/>
        <w:wordWrap/>
        <w:overflowPunct/>
        <w:topLinePunct w:val="0"/>
        <w:autoSpaceDE/>
        <w:autoSpaceDN/>
        <w:bidi w:val="0"/>
        <w:adjustRightInd/>
        <w:snapToGrid/>
        <w:spacing w:line="520" w:lineRule="exact"/>
        <w:ind w:left="105" w:leftChars="50" w:firstLine="480" w:firstLineChars="150"/>
        <w:jc w:val="left"/>
        <w:textAlignment w:val="auto"/>
        <w:rPr>
          <w:rFonts w:hint="eastAsia" w:ascii="仿宋" w:hAnsi="仿宋" w:eastAsia="仿宋" w:cs="仿宋"/>
          <w:sz w:val="32"/>
          <w:szCs w:val="32"/>
        </w:rPr>
      </w:pPr>
      <w:r>
        <w:rPr>
          <w:rFonts w:hint="eastAsia" w:ascii="仿宋" w:hAnsi="仿宋" w:eastAsia="仿宋" w:cs="仿宋"/>
          <w:sz w:val="32"/>
          <w:szCs w:val="32"/>
        </w:rPr>
        <w:t>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keepNext w:val="0"/>
        <w:keepLines w:val="0"/>
        <w:pageBreakBefore w:val="0"/>
        <w:kinsoku/>
        <w:wordWrap/>
        <w:overflowPunct/>
        <w:topLinePunct w:val="0"/>
        <w:autoSpaceDE/>
        <w:autoSpaceDN/>
        <w:bidi w:val="0"/>
        <w:adjustRightInd/>
        <w:snapToGrid/>
        <w:spacing w:line="52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lang w:val="en-US" w:eastAsia="zh-CN"/>
        </w:rPr>
        <w:t>五</w:t>
      </w:r>
      <w:r>
        <w:rPr>
          <w:rFonts w:hint="eastAsia" w:ascii="黑体" w:hAnsi="黑体" w:eastAsia="黑体"/>
          <w:spacing w:val="-12"/>
          <w:sz w:val="32"/>
          <w:szCs w:val="32"/>
        </w:rPr>
        <w:t>、</w:t>
      </w:r>
      <w:r>
        <w:rPr>
          <w:rFonts w:hint="eastAsia" w:ascii="黑体" w:hAnsi="黑体" w:eastAsia="黑体"/>
          <w:sz w:val="32"/>
          <w:szCs w:val="32"/>
        </w:rPr>
        <w:t>克百威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_GB2312"/>
          <w:sz w:val="32"/>
          <w:szCs w:val="32"/>
        </w:rPr>
        <w:t>克百威是一种氨基甲酸酯类杀虫、杀螨、杀线虫剂，并有一定的杀卵作用。克百威超标的主要原因可能是种植过程中为</w:t>
      </w:r>
      <w:r>
        <w:rPr>
          <w:rFonts w:hint="eastAsia" w:ascii="仿宋" w:hAnsi="仿宋" w:eastAsia="仿宋" w:cs="仿宋"/>
          <w:sz w:val="32"/>
          <w:szCs w:val="32"/>
        </w:rPr>
        <w:t>控制病虫害而违规使用</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592" w:firstLineChars="200"/>
        <w:textAlignment w:val="auto"/>
        <w:rPr>
          <w:rFonts w:ascii="Times New Roman" w:hAnsi="Times New Roman" w:eastAsia="黑体"/>
          <w:spacing w:val="-12"/>
          <w:sz w:val="32"/>
          <w:szCs w:val="32"/>
        </w:rPr>
      </w:pPr>
      <w:r>
        <w:rPr>
          <w:rFonts w:hint="eastAsia" w:ascii="Times New Roman" w:hAnsi="Times New Roman" w:eastAsia="黑体"/>
          <w:spacing w:val="-12"/>
          <w:sz w:val="32"/>
          <w:szCs w:val="32"/>
          <w:lang w:eastAsia="zh-CN"/>
        </w:rPr>
        <w:t>六</w:t>
      </w:r>
      <w:r>
        <w:rPr>
          <w:rFonts w:hint="eastAsia" w:ascii="Times New Roman" w:hAnsi="Times New Roman" w:eastAsia="黑体"/>
          <w:spacing w:val="-12"/>
          <w:sz w:val="32"/>
          <w:szCs w:val="32"/>
        </w:rPr>
        <w:t>、</w:t>
      </w:r>
      <w:r>
        <w:rPr>
          <w:rFonts w:ascii="Times New Roman" w:hAnsi="Times New Roman" w:eastAsia="黑体"/>
          <w:spacing w:val="-12"/>
          <w:sz w:val="32"/>
          <w:szCs w:val="32"/>
        </w:rPr>
        <w:t>胭脂红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ascii="Times New Roman" w:hAnsi="Times New Roman" w:eastAsia="仿宋_GB2312"/>
          <w:sz w:val="32"/>
          <w:szCs w:val="32"/>
        </w:rPr>
        <w:t>胭脂红为水溶性偶氮类着色剂，在食品行业中应用广泛，可改善食品的外观和色泽。</w:t>
      </w:r>
      <w:r>
        <w:rPr>
          <w:rFonts w:hint="eastAsia" w:ascii="Times New Roman" w:hAnsi="Times New Roman" w:eastAsia="仿宋_GB2312"/>
          <w:sz w:val="32"/>
          <w:szCs w:val="32"/>
        </w:rPr>
        <w:t>造成胭脂红</w:t>
      </w:r>
      <w:r>
        <w:rPr>
          <w:rFonts w:ascii="Times New Roman" w:hAnsi="Times New Roman" w:eastAsia="仿宋_GB2312"/>
          <w:sz w:val="32"/>
          <w:szCs w:val="32"/>
        </w:rPr>
        <w:t>不合格</w:t>
      </w:r>
      <w:r>
        <w:rPr>
          <w:rFonts w:hint="eastAsia" w:ascii="Times New Roman" w:hAnsi="Times New Roman" w:eastAsia="仿宋_GB2312"/>
          <w:sz w:val="32"/>
          <w:szCs w:val="32"/>
        </w:rPr>
        <w:t>的</w:t>
      </w:r>
      <w:r>
        <w:rPr>
          <w:rFonts w:ascii="Times New Roman" w:hAnsi="Times New Roman" w:eastAsia="仿宋_GB2312"/>
          <w:sz w:val="32"/>
          <w:szCs w:val="32"/>
        </w:rPr>
        <w:t>原因</w:t>
      </w:r>
      <w:r>
        <w:rPr>
          <w:rFonts w:hint="eastAsia" w:ascii="Times New Roman" w:hAnsi="Times New Roman" w:eastAsia="仿宋_GB2312"/>
          <w:sz w:val="32"/>
          <w:szCs w:val="32"/>
        </w:rPr>
        <w:t>，</w:t>
      </w:r>
      <w:r>
        <w:rPr>
          <w:rFonts w:ascii="Times New Roman" w:hAnsi="Times New Roman" w:eastAsia="仿宋_GB2312"/>
          <w:sz w:val="32"/>
          <w:szCs w:val="32"/>
        </w:rPr>
        <w:t>可能是企业为凸显产品色泽，</w:t>
      </w:r>
      <w:r>
        <w:rPr>
          <w:rFonts w:hint="eastAsia" w:ascii="Times New Roman" w:hAnsi="Times New Roman" w:eastAsia="仿宋_GB2312"/>
          <w:sz w:val="32"/>
          <w:szCs w:val="32"/>
        </w:rPr>
        <w:t>超限量</w:t>
      </w:r>
      <w:r>
        <w:rPr>
          <w:rFonts w:ascii="Times New Roman" w:hAnsi="Times New Roman" w:eastAsia="仿宋_GB2312"/>
          <w:sz w:val="32"/>
          <w:szCs w:val="32"/>
        </w:rPr>
        <w:t>超范围使用胭脂红。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sz w:val="32"/>
          <w:szCs w:val="32"/>
          <w:lang w:val="en-US" w:eastAsia="zh-CN"/>
        </w:rPr>
        <w:t>七</w:t>
      </w:r>
      <w:r>
        <w:rPr>
          <w:rFonts w:ascii="黑体" w:hAnsi="黑体" w:eastAsia="黑体" w:cs="Times New Roman"/>
          <w:sz w:val="32"/>
          <w:szCs w:val="32"/>
        </w:rPr>
        <w:t>、酸价（以脂肪计）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酸价主要反映食品中的油脂酸败程度。酸价超标会导致食品有哈喇味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酸价</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的原因，可能</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企业原料采购把关不严、生产工艺不达标、产品储藏条件不当</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有关，特别是存贮温度较高时易导致食品中的脂肪氧化酸败致使酸价超标。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bookmarkStart w:id="0" w:name="_Toc30283"/>
      <w:bookmarkStart w:id="1" w:name="_Toc14504"/>
      <w:r>
        <w:rPr>
          <w:rFonts w:hint="eastAsia" w:ascii="黑体" w:hAnsi="黑体" w:eastAsia="黑体"/>
          <w:sz w:val="32"/>
          <w:szCs w:val="32"/>
          <w:lang w:val="en-US" w:eastAsia="zh-CN"/>
        </w:rPr>
        <w:t>八</w:t>
      </w:r>
      <w:r>
        <w:rPr>
          <w:rFonts w:ascii="黑体" w:hAnsi="黑体" w:eastAsia="黑体"/>
          <w:sz w:val="32"/>
          <w:szCs w:val="32"/>
        </w:rPr>
        <w:t>、氧乐果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氧乐果是一种有机磷杀虫、杀螨剂，其作用机制为抑制昆虫胆碱酯酶。</w:t>
      </w:r>
      <w:bookmarkEnd w:id="0"/>
      <w:bookmarkEnd w:id="1"/>
      <w:r>
        <w:rPr>
          <w:rFonts w:ascii="Times New Roman" w:hAnsi="Times New Roman" w:eastAsia="仿宋_GB2312"/>
          <w:sz w:val="32"/>
          <w:szCs w:val="32"/>
        </w:rPr>
        <w:t>《食品安全国家标准 食品中农药最大残留限量》（GB 2763</w:t>
      </w:r>
      <w:r>
        <w:rPr>
          <w:rFonts w:hint="eastAsia" w:ascii="仿宋_GB231" w:hAnsi="Times New Roman" w:eastAsia="仿宋_GB231"/>
          <w:sz w:val="32"/>
          <w:szCs w:val="32"/>
          <w:lang w:val="en-US" w:eastAsia="zh-CN"/>
        </w:rPr>
        <w:t>-</w:t>
      </w:r>
      <w:r>
        <w:rPr>
          <w:rFonts w:ascii="Times New Roman" w:hAnsi="Times New Roman" w:eastAsia="仿宋_GB2312"/>
          <w:sz w:val="32"/>
          <w:szCs w:val="32"/>
        </w:rPr>
        <w:t>2016）中规定</w:t>
      </w:r>
      <w:r>
        <w:rPr>
          <w:rFonts w:hint="eastAsia" w:ascii="Times New Roman" w:hAnsi="Times New Roman" w:eastAsia="仿宋_GB2312"/>
          <w:sz w:val="32"/>
          <w:szCs w:val="32"/>
        </w:rPr>
        <w:t>，</w:t>
      </w:r>
      <w:r>
        <w:rPr>
          <w:rFonts w:ascii="Times New Roman" w:hAnsi="Times New Roman" w:eastAsia="仿宋_GB2312"/>
          <w:sz w:val="32"/>
          <w:szCs w:val="32"/>
        </w:rPr>
        <w:t>氧乐果在</w:t>
      </w:r>
      <w:r>
        <w:rPr>
          <w:rFonts w:hint="eastAsia" w:ascii="Times New Roman" w:hAnsi="Times New Roman" w:eastAsia="仿宋_GB2312"/>
          <w:sz w:val="32"/>
          <w:szCs w:val="32"/>
          <w:lang w:val="en-US" w:eastAsia="zh-CN"/>
        </w:rPr>
        <w:t>韭菜</w:t>
      </w:r>
      <w:r>
        <w:rPr>
          <w:rFonts w:ascii="Times New Roman" w:hAnsi="Times New Roman" w:eastAsia="仿宋_GB2312"/>
          <w:sz w:val="32"/>
          <w:szCs w:val="32"/>
        </w:rPr>
        <w:t>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为0.02 mg/kg。</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、磺胺类（总量）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磺胺类药物是一种人工合成的抗菌谱较广、性质稳定、使用简便的抗菌药，对大多数革兰氏阳性菌和阴性菌都有较强抑制作用。磺胺类（总量）超标的主要原因可能是畜牧养殖过程中为控制疾病超量使用或不遵循休药期规定。</w:t>
      </w:r>
    </w:p>
    <w:p>
      <w:pPr>
        <w:keepNext w:val="0"/>
        <w:keepLines w:val="0"/>
        <w:pageBreakBefore w:val="0"/>
        <w:kinsoku/>
        <w:wordWrap/>
        <w:overflowPunct/>
        <w:topLinePunct w:val="0"/>
        <w:autoSpaceDE/>
        <w:autoSpaceDN/>
        <w:bidi w:val="0"/>
        <w:adjustRightInd/>
        <w:snapToGrid/>
        <w:spacing w:line="520" w:lineRule="exact"/>
        <w:ind w:firstLine="592" w:firstLineChars="200"/>
        <w:jc w:val="left"/>
        <w:textAlignment w:val="auto"/>
        <w:rPr>
          <w:rFonts w:ascii="黑体" w:hAnsi="黑体" w:eastAsia="黑体"/>
          <w:spacing w:val="-12"/>
          <w:sz w:val="32"/>
          <w:szCs w:val="32"/>
        </w:rPr>
      </w:pPr>
      <w:r>
        <w:rPr>
          <w:rFonts w:hint="eastAsia" w:ascii="黑体" w:hAnsi="黑体" w:eastAsia="黑体"/>
          <w:spacing w:val="-12"/>
          <w:sz w:val="32"/>
          <w:szCs w:val="32"/>
          <w:lang w:val="en-US" w:eastAsia="zh-CN"/>
        </w:rPr>
        <w:t>十</w:t>
      </w:r>
      <w:r>
        <w:rPr>
          <w:rFonts w:hint="eastAsia" w:ascii="黑体" w:hAnsi="黑体" w:eastAsia="黑体"/>
          <w:spacing w:val="-12"/>
          <w:sz w:val="32"/>
          <w:szCs w:val="32"/>
        </w:rPr>
        <w:t>、毒死蜱</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毒死蜱是一种有机磷杀虫剂。《食品安全国家标准 食品中农药最大残留限量》（GB 2763</w:t>
      </w:r>
      <w:r>
        <w:rPr>
          <w:rFonts w:hint="eastAsia" w:ascii="仿宋_GB2312" w:hAnsi="Times New Roman" w:eastAsia="仿宋_GB2312" w:cs="Times New Roman"/>
          <w:sz w:val="32"/>
          <w:szCs w:val="32"/>
          <w:lang w:val="en-US" w:eastAsia="zh-CN"/>
        </w:rPr>
        <w:t>-</w:t>
      </w:r>
      <w:r>
        <w:rPr>
          <w:rFonts w:ascii="Times New Roman" w:hAnsi="Times New Roman" w:eastAsia="仿宋_GB2312" w:cs="Times New Roman"/>
          <w:sz w:val="32"/>
          <w:szCs w:val="32"/>
        </w:rPr>
        <w:t>2016）中规定，毒死蜱在芹菜中的最大残留限量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为0.05mg/kg</w:t>
      </w:r>
      <w:bookmarkStart w:id="2" w:name="_GoBack"/>
      <w:bookmarkEnd w:id="2"/>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592" w:firstLineChars="200"/>
        <w:jc w:val="left"/>
        <w:textAlignment w:val="auto"/>
        <w:rPr>
          <w:rFonts w:hint="eastAsia" w:ascii="黑体" w:hAnsi="黑体" w:eastAsia="黑体"/>
          <w:spacing w:val="-12"/>
          <w:sz w:val="32"/>
          <w:szCs w:val="32"/>
          <w:lang w:val="en-US" w:eastAsia="zh-CN"/>
        </w:rPr>
      </w:pPr>
      <w:r>
        <w:rPr>
          <w:rFonts w:hint="eastAsia" w:ascii="黑体" w:hAnsi="黑体" w:eastAsia="黑体"/>
          <w:spacing w:val="-12"/>
          <w:sz w:val="32"/>
          <w:szCs w:val="32"/>
          <w:lang w:val="en-US" w:eastAsia="zh-CN"/>
        </w:rPr>
        <w:t>十一</w:t>
      </w:r>
      <w:r>
        <w:rPr>
          <w:rFonts w:hint="eastAsia" w:ascii="黑体" w:hAnsi="黑体" w:eastAsia="黑体"/>
          <w:spacing w:val="-12"/>
          <w:sz w:val="32"/>
          <w:szCs w:val="32"/>
        </w:rPr>
        <w:t>、</w:t>
      </w:r>
      <w:r>
        <w:rPr>
          <w:rFonts w:hint="eastAsia" w:ascii="黑体" w:hAnsi="黑体" w:eastAsia="黑体"/>
          <w:spacing w:val="-12"/>
          <w:sz w:val="32"/>
          <w:szCs w:val="32"/>
          <w:lang w:val="en-US" w:eastAsia="zh-CN"/>
        </w:rPr>
        <w:t>腈苯唑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right="28"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腈苯唑又叫唑菌腈、苯腈唑，是三唑类内吸杀菌剂，能阻止已发芽的病菌孢子侵入作物组织，抑制菌丝的伸长。腈苯唑在果树上主要用于防治香蕉叶斑病。《食品安全国家标准 食品中农药最大残留限量》（GB 2763-2016）规定香蕉中腈苯唑含量不得超过0.05mg/kg。</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十</w:t>
      </w:r>
      <w:r>
        <w:rPr>
          <w:rFonts w:hint="eastAsia" w:ascii="Times New Roman" w:hAnsi="Times New Roman" w:eastAsia="黑体"/>
          <w:sz w:val="32"/>
          <w:szCs w:val="32"/>
          <w:lang w:eastAsia="zh-CN"/>
        </w:rPr>
        <w:t>二</w:t>
      </w:r>
      <w:r>
        <w:rPr>
          <w:rFonts w:ascii="Times New Roman" w:hAnsi="Times New Roman" w:eastAsia="黑体"/>
          <w:sz w:val="32"/>
          <w:szCs w:val="32"/>
        </w:rPr>
        <w:t>、恩诺沙星（以恩诺沙星与环丙沙星之和计）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rPr>
        <w:t>以</w:t>
      </w:r>
      <w:r>
        <w:rPr>
          <w:rFonts w:ascii="Times New Roman" w:hAnsi="Times New Roman" w:eastAsia="仿宋_GB2312"/>
          <w:sz w:val="32"/>
          <w:szCs w:val="32"/>
        </w:rPr>
        <w:t>治疗动物的皮肤感染、呼吸道感染等，可用于牛、羊、猪、兔、禽等食用畜禽及其他动物。恩诺沙星</w:t>
      </w:r>
      <w:r>
        <w:rPr>
          <w:rFonts w:hint="eastAsia" w:ascii="仿宋" w:hAnsi="仿宋" w:eastAsia="仿宋" w:cs="仿宋"/>
          <w:sz w:val="32"/>
          <w:szCs w:val="32"/>
        </w:rPr>
        <w:t>超标的主要原因可能是畜牧养殖过程中为控制疾病超量使用或不遵循休药期规定。</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lang w:eastAsia="zh-CN"/>
        </w:rPr>
        <w:t>三</w:t>
      </w:r>
      <w:r>
        <w:rPr>
          <w:rFonts w:hint="eastAsia" w:ascii="黑体" w:hAnsi="黑体" w:eastAsia="黑体"/>
          <w:sz w:val="32"/>
          <w:szCs w:val="32"/>
        </w:rPr>
        <w:t>、大肠菌群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大肠菌群是国内外通用的食品污染常用指示菌之一。造成大肠菌群超标的原因，可能是产品的加工原料、包装材料受污染，或</w:t>
      </w:r>
      <w:r>
        <w:rPr>
          <w:rFonts w:hint="eastAsia" w:ascii="Times New Roman" w:hAnsi="Times New Roman" w:eastAsia="仿宋_GB2312"/>
          <w:sz w:val="32"/>
          <w:szCs w:val="32"/>
        </w:rPr>
        <w:t>是</w:t>
      </w:r>
      <w:r>
        <w:rPr>
          <w:rFonts w:ascii="Times New Roman" w:hAnsi="Times New Roman" w:eastAsia="仿宋_GB2312"/>
          <w:sz w:val="32"/>
          <w:szCs w:val="32"/>
        </w:rPr>
        <w:t>在生产过程中产品受人员、工器具等生产设备、环境的污染。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lang w:eastAsia="zh-CN"/>
        </w:rPr>
        <w:t>十四</w:t>
      </w:r>
      <w:r>
        <w:rPr>
          <w:rFonts w:hint="eastAsia" w:ascii="Times New Roman" w:hAnsi="Times New Roman" w:eastAsia="黑体"/>
          <w:sz w:val="32"/>
          <w:szCs w:val="32"/>
        </w:rPr>
        <w:t>、克伦特罗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Times New Roman" w:hAnsi="Times New Roman" w:eastAsia="仿宋_GB2312"/>
          <w:sz w:val="32"/>
          <w:szCs w:val="32"/>
        </w:rPr>
        <w:t>克伦特罗属于</w:t>
      </w:r>
      <w:r>
        <w:rPr>
          <w:rFonts w:ascii="Times New Roman" w:hAnsi="Times New Roman" w:eastAsia="仿宋_GB2312"/>
          <w:sz w:val="32"/>
          <w:szCs w:val="32"/>
        </w:rPr>
        <w:t>β-</w:t>
      </w:r>
      <w:r>
        <w:rPr>
          <w:rFonts w:hint="eastAsia" w:ascii="Times New Roman" w:hAnsi="Times New Roman" w:eastAsia="仿宋_GB2312"/>
          <w:sz w:val="32"/>
          <w:szCs w:val="32"/>
        </w:rPr>
        <w:t>肾上腺素受体激动剂，作为饲料添加剂用于畜牧生产，对动物有明显的促进生长、提高瘦肉率及减少脂肪的效果。《食品中可能违法添加的非食用物质和易滥用的食品添加剂名单（第四批）》（整顿办函〔</w:t>
      </w:r>
      <w:r>
        <w:rPr>
          <w:rFonts w:ascii="Times New Roman" w:hAnsi="Times New Roman" w:eastAsia="仿宋_GB2312"/>
          <w:sz w:val="32"/>
          <w:szCs w:val="32"/>
        </w:rPr>
        <w:t>2010</w:t>
      </w:r>
      <w:r>
        <w:rPr>
          <w:rFonts w:hint="eastAsia" w:ascii="Times New Roman" w:hAnsi="Times New Roman" w:eastAsia="仿宋_GB2312"/>
          <w:sz w:val="32"/>
          <w:szCs w:val="32"/>
        </w:rPr>
        <w:t>〕</w:t>
      </w:r>
      <w:r>
        <w:rPr>
          <w:rFonts w:ascii="Times New Roman" w:hAnsi="Times New Roman" w:eastAsia="仿宋_GB2312"/>
          <w:sz w:val="32"/>
          <w:szCs w:val="32"/>
        </w:rPr>
        <w:t>50</w:t>
      </w:r>
      <w:r>
        <w:rPr>
          <w:rFonts w:hint="eastAsia" w:ascii="Times New Roman" w:hAnsi="Times New Roman" w:eastAsia="仿宋_GB2312"/>
          <w:sz w:val="32"/>
          <w:szCs w:val="32"/>
        </w:rPr>
        <w:t>号）中规定，</w:t>
      </w:r>
      <w:r>
        <w:rPr>
          <w:rFonts w:ascii="Times New Roman" w:hAnsi="Times New Roman" w:eastAsia="仿宋_GB2312"/>
          <w:sz w:val="32"/>
          <w:szCs w:val="32"/>
        </w:rPr>
        <w:t>β-</w:t>
      </w:r>
      <w:r>
        <w:rPr>
          <w:rFonts w:hint="eastAsia" w:ascii="Times New Roman" w:hAnsi="Times New Roman" w:eastAsia="仿宋_GB2312"/>
          <w:sz w:val="32"/>
          <w:szCs w:val="32"/>
        </w:rPr>
        <w:t>兴奋剂类药物（盐酸克伦特罗（瘦肉精）、莱克多巴胺等）为食品中违法添加的非食用物质，在动物性食品中不得检出。克伦特罗</w:t>
      </w:r>
      <w:r>
        <w:rPr>
          <w:rFonts w:hint="eastAsia" w:ascii="仿宋" w:hAnsi="仿宋" w:eastAsia="仿宋" w:cs="仿宋"/>
          <w:color w:val="auto"/>
          <w:sz w:val="32"/>
          <w:szCs w:val="32"/>
          <w:highlight w:val="none"/>
          <w:lang w:eastAsia="zh-CN"/>
        </w:rPr>
        <w:t>项目不合格</w:t>
      </w:r>
      <w:r>
        <w:rPr>
          <w:rFonts w:hint="eastAsia" w:ascii="仿宋" w:hAnsi="仿宋" w:eastAsia="仿宋" w:cs="仿宋"/>
          <w:color w:val="auto"/>
          <w:sz w:val="32"/>
          <w:szCs w:val="32"/>
          <w:highlight w:val="none"/>
        </w:rPr>
        <w:t>的主要原因可能是不法养殖户</w:t>
      </w:r>
      <w:r>
        <w:rPr>
          <w:rFonts w:hint="eastAsia" w:ascii="仿宋" w:hAnsi="仿宋" w:eastAsia="仿宋" w:cs="仿宋"/>
          <w:color w:val="auto"/>
          <w:sz w:val="32"/>
          <w:szCs w:val="32"/>
          <w:highlight w:val="none"/>
          <w:lang w:eastAsia="zh-CN"/>
        </w:rPr>
        <w:t>为</w:t>
      </w:r>
      <w:r>
        <w:rPr>
          <w:rFonts w:hint="default" w:ascii="Times New Roman" w:hAnsi="Times New Roman" w:eastAsia="仿宋_GB2312" w:cs="Times New Roman"/>
          <w:color w:val="auto"/>
          <w:kern w:val="0"/>
          <w:sz w:val="30"/>
          <w:szCs w:val="30"/>
          <w:lang w:val="en-US" w:eastAsia="zh-CN" w:bidi="ar"/>
        </w:rPr>
        <w:t>增加动物的瘦肉量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迎合消费需求及获得更大的经济效益而违法使用</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十五</w:t>
      </w:r>
      <w:r>
        <w:rPr>
          <w:rFonts w:ascii="黑体" w:hAnsi="黑体" w:eastAsia="黑体"/>
          <w:sz w:val="32"/>
          <w:szCs w:val="32"/>
        </w:rPr>
        <w:t>、诺氟沙星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ascii="Times New Roman" w:hAnsi="Times New Roman" w:eastAsia="仿宋_GB2312"/>
          <w:sz w:val="32"/>
          <w:szCs w:val="32"/>
        </w:rPr>
        <w:t>诺氟沙星是氟喹诺酮类抗菌药，具有广谱抗菌作用，对革兰氏阳性菌、阴性菌均有较强的抗菌作用。诺氟沙星可通过抑制细菌DNA旋转酶，干扰细菌DNA的复制、转录和修复重组，致使细菌不能正常生长繁殖而死亡。蜂蜜中检出诺氟沙星的原因，可能是诺氟沙星作为蜂药被用于蜜蜂养殖。</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C9D3C"/>
    <w:multiLevelType w:val="singleLevel"/>
    <w:tmpl w:val="7D3C9D3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8C4AD6"/>
    <w:rsid w:val="09AD3D2D"/>
    <w:rsid w:val="0A8A135D"/>
    <w:rsid w:val="0AAB3302"/>
    <w:rsid w:val="0C1A7DE6"/>
    <w:rsid w:val="0C6647C1"/>
    <w:rsid w:val="0D080EEF"/>
    <w:rsid w:val="109C1D15"/>
    <w:rsid w:val="10AE03F8"/>
    <w:rsid w:val="11540BC8"/>
    <w:rsid w:val="15D35D91"/>
    <w:rsid w:val="16293424"/>
    <w:rsid w:val="16A5094C"/>
    <w:rsid w:val="16F16139"/>
    <w:rsid w:val="17D16A01"/>
    <w:rsid w:val="1DC60705"/>
    <w:rsid w:val="1E653698"/>
    <w:rsid w:val="214E7B36"/>
    <w:rsid w:val="241F67F7"/>
    <w:rsid w:val="24DF7C17"/>
    <w:rsid w:val="27441CC2"/>
    <w:rsid w:val="27DE4DFA"/>
    <w:rsid w:val="29527064"/>
    <w:rsid w:val="29CB062A"/>
    <w:rsid w:val="2D873E73"/>
    <w:rsid w:val="2DC9409F"/>
    <w:rsid w:val="2E047006"/>
    <w:rsid w:val="2EF84E53"/>
    <w:rsid w:val="30B03B2F"/>
    <w:rsid w:val="311B2AB5"/>
    <w:rsid w:val="32CB30AC"/>
    <w:rsid w:val="37184F83"/>
    <w:rsid w:val="3ABC1FE1"/>
    <w:rsid w:val="3B551BC6"/>
    <w:rsid w:val="3E0B4B63"/>
    <w:rsid w:val="3EA42C16"/>
    <w:rsid w:val="3FF47B42"/>
    <w:rsid w:val="41036A61"/>
    <w:rsid w:val="41E80A47"/>
    <w:rsid w:val="426A6186"/>
    <w:rsid w:val="43CF2673"/>
    <w:rsid w:val="456D64FF"/>
    <w:rsid w:val="45801D20"/>
    <w:rsid w:val="47476A52"/>
    <w:rsid w:val="48117E1B"/>
    <w:rsid w:val="492B5D59"/>
    <w:rsid w:val="4B2702ED"/>
    <w:rsid w:val="4C403DD2"/>
    <w:rsid w:val="4F080B75"/>
    <w:rsid w:val="4F2C65C3"/>
    <w:rsid w:val="5017563D"/>
    <w:rsid w:val="513F6002"/>
    <w:rsid w:val="54662E91"/>
    <w:rsid w:val="54DA4CA8"/>
    <w:rsid w:val="55D67DAA"/>
    <w:rsid w:val="560E5994"/>
    <w:rsid w:val="56666818"/>
    <w:rsid w:val="58BA776A"/>
    <w:rsid w:val="5A515E52"/>
    <w:rsid w:val="5BAE373B"/>
    <w:rsid w:val="5BC33DA8"/>
    <w:rsid w:val="5C4821F4"/>
    <w:rsid w:val="5DAD2E62"/>
    <w:rsid w:val="60A26DA1"/>
    <w:rsid w:val="61117A29"/>
    <w:rsid w:val="612175D9"/>
    <w:rsid w:val="61DB1E35"/>
    <w:rsid w:val="61EE24B5"/>
    <w:rsid w:val="65031979"/>
    <w:rsid w:val="656B0542"/>
    <w:rsid w:val="662B3639"/>
    <w:rsid w:val="66B21B51"/>
    <w:rsid w:val="697C5C95"/>
    <w:rsid w:val="6B5457C1"/>
    <w:rsid w:val="6EF70921"/>
    <w:rsid w:val="72F102A1"/>
    <w:rsid w:val="73832442"/>
    <w:rsid w:val="74895696"/>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2020-01-15T08:27:59Z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