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napToGrid w:val="0"/>
        <w:spacing w:line="480" w:lineRule="exact"/>
        <w:rPr>
          <w:rFonts w:hint="eastAsia" w:ascii="宋体" w:hAnsi="宋体" w:cs="宋体"/>
          <w:color w:val="000000"/>
          <w:kern w:val="0"/>
          <w:sz w:val="28"/>
          <w:szCs w:val="28"/>
        </w:rPr>
      </w:pPr>
      <w:r>
        <w:rPr>
          <w:rFonts w:hint="eastAsia" w:ascii="宋体" w:hAnsi="宋体" w:cs="宋体"/>
          <w:color w:val="000000"/>
          <w:kern w:val="0"/>
          <w:sz w:val="28"/>
          <w:szCs w:val="28"/>
        </w:rPr>
        <w:t>附件6</w:t>
      </w:r>
    </w:p>
    <w:p>
      <w:pPr>
        <w:jc w:val="center"/>
        <w:rPr>
          <w:bCs/>
          <w:color w:val="000000"/>
        </w:rPr>
      </w:pPr>
      <w:bookmarkStart w:id="0" w:name="_GoBack"/>
      <w:r>
        <w:rPr>
          <w:rFonts w:hint="eastAsia" w:ascii="黑体" w:hAnsi="黑体" w:eastAsia="黑体" w:cs="黑体"/>
          <w:bCs/>
          <w:color w:val="000000"/>
          <w:kern w:val="0"/>
          <w:sz w:val="32"/>
          <w:szCs w:val="32"/>
        </w:rPr>
        <w:t>河南省“平安农机”示范合作社考评计分表</w:t>
      </w:r>
      <w:bookmarkEnd w:id="0"/>
    </w:p>
    <w:p>
      <w:pPr>
        <w:spacing w:line="440" w:lineRule="exact"/>
        <w:jc w:val="center"/>
        <w:rPr>
          <w:rFonts w:hint="eastAsia" w:ascii="黑体" w:hAnsi="黑体" w:eastAsia="黑体" w:cs="黑体"/>
          <w:b/>
          <w:color w:val="000000"/>
          <w:kern w:val="0"/>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02"/>
        <w:gridCol w:w="5250"/>
        <w:gridCol w:w="7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28" w:type="dxa"/>
            <w:noWrap w:val="0"/>
            <w:vAlign w:val="center"/>
          </w:tcPr>
          <w:p>
            <w:pPr>
              <w:pStyle w:val="2"/>
              <w:jc w:val="center"/>
              <w:rPr>
                <w:rFonts w:hint="eastAsia"/>
                <w:b/>
                <w:bCs/>
                <w:color w:val="000000"/>
                <w:sz w:val="24"/>
                <w:szCs w:val="24"/>
              </w:rPr>
            </w:pPr>
            <w:r>
              <w:rPr>
                <w:rFonts w:hint="eastAsia"/>
                <w:b/>
                <w:bCs/>
                <w:color w:val="000000"/>
                <w:sz w:val="24"/>
                <w:szCs w:val="24"/>
              </w:rPr>
              <w:t>序号</w:t>
            </w:r>
          </w:p>
        </w:tc>
        <w:tc>
          <w:tcPr>
            <w:tcW w:w="1302" w:type="dxa"/>
            <w:noWrap w:val="0"/>
            <w:vAlign w:val="center"/>
          </w:tcPr>
          <w:p>
            <w:pPr>
              <w:pStyle w:val="2"/>
              <w:jc w:val="center"/>
              <w:rPr>
                <w:rFonts w:hint="eastAsia"/>
                <w:b/>
                <w:bCs/>
                <w:color w:val="000000"/>
                <w:sz w:val="24"/>
                <w:szCs w:val="24"/>
              </w:rPr>
            </w:pPr>
            <w:r>
              <w:rPr>
                <w:rFonts w:hint="eastAsia"/>
                <w:b/>
                <w:bCs/>
                <w:color w:val="000000"/>
                <w:sz w:val="24"/>
                <w:szCs w:val="24"/>
              </w:rPr>
              <w:t>验收内容</w:t>
            </w:r>
          </w:p>
        </w:tc>
        <w:tc>
          <w:tcPr>
            <w:tcW w:w="5250" w:type="dxa"/>
            <w:noWrap w:val="0"/>
            <w:vAlign w:val="center"/>
          </w:tcPr>
          <w:p>
            <w:pPr>
              <w:pStyle w:val="2"/>
              <w:jc w:val="center"/>
              <w:rPr>
                <w:rFonts w:hint="eastAsia"/>
                <w:b/>
                <w:bCs/>
                <w:color w:val="000000"/>
                <w:sz w:val="24"/>
                <w:szCs w:val="24"/>
              </w:rPr>
            </w:pPr>
            <w:r>
              <w:rPr>
                <w:rFonts w:hint="eastAsia"/>
                <w:b/>
                <w:bCs/>
                <w:color w:val="000000"/>
                <w:sz w:val="24"/>
                <w:szCs w:val="24"/>
              </w:rPr>
              <w:t>验收标准</w:t>
            </w:r>
          </w:p>
        </w:tc>
        <w:tc>
          <w:tcPr>
            <w:tcW w:w="780" w:type="dxa"/>
            <w:noWrap w:val="0"/>
            <w:vAlign w:val="center"/>
          </w:tcPr>
          <w:p>
            <w:pPr>
              <w:pStyle w:val="2"/>
              <w:jc w:val="center"/>
              <w:rPr>
                <w:rFonts w:hint="eastAsia"/>
                <w:b/>
                <w:bCs/>
                <w:color w:val="000000"/>
                <w:sz w:val="24"/>
                <w:szCs w:val="24"/>
              </w:rPr>
            </w:pPr>
            <w:r>
              <w:rPr>
                <w:rFonts w:hint="eastAsia"/>
                <w:b/>
                <w:bCs/>
                <w:color w:val="000000"/>
                <w:sz w:val="24"/>
                <w:szCs w:val="24"/>
              </w:rPr>
              <w:t>分值</w:t>
            </w:r>
          </w:p>
        </w:tc>
        <w:tc>
          <w:tcPr>
            <w:tcW w:w="1230" w:type="dxa"/>
            <w:noWrap w:val="0"/>
            <w:vAlign w:val="center"/>
          </w:tcPr>
          <w:p>
            <w:pPr>
              <w:pStyle w:val="2"/>
              <w:jc w:val="center"/>
              <w:rPr>
                <w:rFonts w:hint="eastAsia"/>
                <w:b/>
                <w:bCs/>
                <w:color w:val="000000"/>
                <w:sz w:val="24"/>
                <w:szCs w:val="24"/>
              </w:rPr>
            </w:pPr>
            <w:r>
              <w:rPr>
                <w:rFonts w:hint="eastAsia"/>
                <w:b/>
                <w:bCs/>
                <w:color w:val="000000"/>
                <w:sz w:val="24"/>
                <w:szCs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w:t>
            </w:r>
          </w:p>
        </w:tc>
        <w:tc>
          <w:tcPr>
            <w:tcW w:w="1302" w:type="dxa"/>
            <w:vMerge w:val="restart"/>
            <w:noWrap w:val="0"/>
            <w:vAlign w:val="center"/>
          </w:tcPr>
          <w:p>
            <w:pPr>
              <w:rPr>
                <w:rFonts w:hint="eastAsia"/>
                <w:color w:val="000000"/>
              </w:rPr>
            </w:pPr>
            <w:r>
              <w:rPr>
                <w:rFonts w:hint="eastAsia"/>
                <w:color w:val="000000"/>
              </w:rPr>
              <w:t>农机安全工作组织领导</w:t>
            </w:r>
          </w:p>
        </w:tc>
        <w:tc>
          <w:tcPr>
            <w:tcW w:w="5250" w:type="dxa"/>
            <w:noWrap w:val="0"/>
            <w:vAlign w:val="center"/>
          </w:tcPr>
          <w:p>
            <w:pPr>
              <w:rPr>
                <w:rFonts w:hint="eastAsia"/>
                <w:color w:val="000000"/>
              </w:rPr>
            </w:pPr>
            <w:r>
              <w:rPr>
                <w:rFonts w:hint="eastAsia"/>
                <w:color w:val="000000"/>
              </w:rPr>
              <w:t>设有农机安全生产领导小组，组长由合作社社长负责担任。并确定一名农机安全管理员，岗位职责、任务和工作制度明确</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12</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2</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农机安全生产管理规章制度健全，有关制度公布上墙。创建工作总结内容详实、规范</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12</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3</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与农机驾驶人（社员）签订农机安全责任书的签订率为100%，格式规范、内容完整。并建立农机安全生产考核制度</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10</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4</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积极落实政府和农机管理部门针对做好农机安全生产监管工作的要求</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5</w:t>
            </w:r>
          </w:p>
        </w:tc>
        <w:tc>
          <w:tcPr>
            <w:tcW w:w="1302" w:type="dxa"/>
            <w:vMerge w:val="restart"/>
            <w:noWrap w:val="0"/>
            <w:vAlign w:val="center"/>
          </w:tcPr>
          <w:p>
            <w:pPr>
              <w:rPr>
                <w:rFonts w:hint="eastAsia"/>
                <w:color w:val="000000"/>
              </w:rPr>
            </w:pPr>
            <w:r>
              <w:rPr>
                <w:rFonts w:hint="eastAsia"/>
                <w:color w:val="000000"/>
              </w:rPr>
              <w:t>农机安全生产措施到位</w:t>
            </w:r>
          </w:p>
        </w:tc>
        <w:tc>
          <w:tcPr>
            <w:tcW w:w="5250" w:type="dxa"/>
            <w:noWrap w:val="0"/>
            <w:vAlign w:val="center"/>
          </w:tcPr>
          <w:p>
            <w:pPr>
              <w:rPr>
                <w:rFonts w:hint="eastAsia"/>
                <w:color w:val="000000"/>
              </w:rPr>
            </w:pPr>
            <w:r>
              <w:rPr>
                <w:rFonts w:hint="eastAsia"/>
                <w:color w:val="000000"/>
              </w:rPr>
              <w:t>开展农业机械作业的安全检查（附文字记录）</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6</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农业机械及其驾驶人台帐齐全</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7</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“三夏”“三秋”每台收获机械配备随机安全员（需有随机安全员证）</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8</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农机事故及违章记录台帐完整</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9</w:t>
            </w:r>
          </w:p>
        </w:tc>
        <w:tc>
          <w:tcPr>
            <w:tcW w:w="1302" w:type="dxa"/>
            <w:vMerge w:val="restart"/>
            <w:noWrap w:val="0"/>
            <w:vAlign w:val="center"/>
          </w:tcPr>
          <w:p>
            <w:pPr>
              <w:rPr>
                <w:rFonts w:hint="eastAsia"/>
                <w:color w:val="000000"/>
              </w:rPr>
            </w:pPr>
            <w:r>
              <w:rPr>
                <w:rFonts w:hint="eastAsia"/>
                <w:color w:val="000000"/>
              </w:rPr>
              <w:t>开展农机安全生产宣传教育活动</w:t>
            </w:r>
          </w:p>
        </w:tc>
        <w:tc>
          <w:tcPr>
            <w:tcW w:w="5250" w:type="dxa"/>
            <w:noWrap w:val="0"/>
            <w:vAlign w:val="center"/>
          </w:tcPr>
          <w:p>
            <w:pPr>
              <w:rPr>
                <w:rFonts w:hint="eastAsia"/>
                <w:color w:val="000000"/>
              </w:rPr>
            </w:pPr>
            <w:r>
              <w:rPr>
                <w:rFonts w:hint="eastAsia"/>
                <w:color w:val="000000"/>
              </w:rPr>
              <w:t>设有驾驶操作人员（社员）学习活动室、农机安全宣传栏、宣传材料及宣传标语</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10</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每季组织一次农机驾驶操作人员（社员）安全教育学习，并有签到和学习内容的记录</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11</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农机驾驶操作人员掌握安全生产法规知识和操作技能（抽查）</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12</w:t>
            </w:r>
          </w:p>
        </w:tc>
        <w:tc>
          <w:tcPr>
            <w:tcW w:w="1302" w:type="dxa"/>
            <w:vMerge w:val="restart"/>
            <w:noWrap w:val="0"/>
            <w:vAlign w:val="center"/>
          </w:tcPr>
          <w:p>
            <w:pPr>
              <w:rPr>
                <w:rFonts w:hint="eastAsia"/>
                <w:color w:val="000000"/>
              </w:rPr>
            </w:pPr>
            <w:r>
              <w:rPr>
                <w:rFonts w:hint="eastAsia"/>
                <w:color w:val="000000"/>
              </w:rPr>
              <w:t>农机消防设施、技术状况</w:t>
            </w:r>
          </w:p>
        </w:tc>
        <w:tc>
          <w:tcPr>
            <w:tcW w:w="5250" w:type="dxa"/>
            <w:noWrap w:val="0"/>
            <w:vAlign w:val="center"/>
          </w:tcPr>
          <w:p>
            <w:pPr>
              <w:rPr>
                <w:rFonts w:hint="eastAsia"/>
                <w:color w:val="000000"/>
              </w:rPr>
            </w:pPr>
            <w:r>
              <w:rPr>
                <w:rFonts w:hint="eastAsia"/>
                <w:color w:val="000000"/>
              </w:rPr>
              <w:t>消防设施齐全，安全措施到位</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13</w:t>
            </w:r>
          </w:p>
        </w:tc>
        <w:tc>
          <w:tcPr>
            <w:tcW w:w="1302" w:type="dxa"/>
            <w:vMerge w:val="continue"/>
            <w:noWrap w:val="0"/>
            <w:vAlign w:val="center"/>
          </w:tcPr>
          <w:p>
            <w:pPr>
              <w:rPr>
                <w:rFonts w:hint="eastAsia"/>
                <w:color w:val="000000"/>
              </w:rPr>
            </w:pPr>
          </w:p>
        </w:tc>
        <w:tc>
          <w:tcPr>
            <w:tcW w:w="5250" w:type="dxa"/>
            <w:noWrap w:val="0"/>
            <w:vAlign w:val="center"/>
          </w:tcPr>
          <w:p>
            <w:pPr>
              <w:rPr>
                <w:rFonts w:hint="eastAsia"/>
                <w:color w:val="000000"/>
              </w:rPr>
            </w:pPr>
            <w:r>
              <w:rPr>
                <w:rFonts w:hint="eastAsia"/>
                <w:color w:val="000000"/>
              </w:rPr>
              <w:t>农业机械维修保养及时，农业机械技术状况良好</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14</w:t>
            </w:r>
          </w:p>
        </w:tc>
        <w:tc>
          <w:tcPr>
            <w:tcW w:w="1302" w:type="dxa"/>
            <w:vMerge w:val="restart"/>
            <w:noWrap w:val="0"/>
            <w:vAlign w:val="center"/>
          </w:tcPr>
          <w:p>
            <w:pPr>
              <w:rPr>
                <w:rFonts w:hint="eastAsia"/>
                <w:color w:val="000000"/>
              </w:rPr>
            </w:pPr>
            <w:r>
              <w:rPr>
                <w:rFonts w:hint="eastAsia"/>
                <w:color w:val="000000"/>
              </w:rPr>
              <w:t>监控指标</w:t>
            </w:r>
          </w:p>
        </w:tc>
        <w:tc>
          <w:tcPr>
            <w:tcW w:w="5250" w:type="dxa"/>
            <w:noWrap w:val="0"/>
            <w:vAlign w:val="center"/>
          </w:tcPr>
          <w:p>
            <w:pPr>
              <w:rPr>
                <w:rFonts w:hint="eastAsia"/>
                <w:color w:val="000000"/>
              </w:rPr>
            </w:pPr>
            <w:r>
              <w:rPr>
                <w:rFonts w:hint="eastAsia"/>
                <w:color w:val="000000"/>
              </w:rPr>
              <w:t>未发生重伤以上农机事故</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5</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noWrap w:val="0"/>
            <w:vAlign w:val="center"/>
          </w:tcPr>
          <w:p>
            <w:pPr>
              <w:spacing w:line="240" w:lineRule="atLeast"/>
              <w:jc w:val="center"/>
              <w:rPr>
                <w:rFonts w:hint="eastAsia" w:ascii="Cambria" w:hAnsi="华文楷体"/>
                <w:b/>
                <w:color w:val="000000"/>
                <w:sz w:val="24"/>
              </w:rPr>
            </w:pPr>
            <w:r>
              <w:rPr>
                <w:rFonts w:hint="eastAsia" w:ascii="Cambria" w:hAnsi="华文楷体"/>
                <w:b/>
                <w:color w:val="000000"/>
                <w:sz w:val="24"/>
              </w:rPr>
              <w:t>15</w:t>
            </w:r>
          </w:p>
        </w:tc>
        <w:tc>
          <w:tcPr>
            <w:tcW w:w="1302" w:type="dxa"/>
            <w:vMerge w:val="continue"/>
            <w:noWrap w:val="0"/>
            <w:vAlign w:val="center"/>
          </w:tcPr>
          <w:p>
            <w:pPr>
              <w:spacing w:line="240" w:lineRule="atLeast"/>
              <w:jc w:val="center"/>
              <w:rPr>
                <w:rFonts w:hint="eastAsia" w:ascii="宋体" w:hAnsi="宋体" w:cs="宋体"/>
                <w:color w:val="000000"/>
                <w:sz w:val="24"/>
              </w:rPr>
            </w:pPr>
          </w:p>
        </w:tc>
        <w:tc>
          <w:tcPr>
            <w:tcW w:w="5250" w:type="dxa"/>
            <w:noWrap w:val="0"/>
            <w:vAlign w:val="center"/>
          </w:tcPr>
          <w:p>
            <w:pPr>
              <w:rPr>
                <w:rFonts w:hint="eastAsia"/>
                <w:color w:val="000000"/>
              </w:rPr>
            </w:pPr>
            <w:r>
              <w:rPr>
                <w:rFonts w:hint="eastAsia"/>
                <w:color w:val="000000"/>
              </w:rPr>
              <w:t>拖拉机、联合收割机登记率、年检率、驾驶人持证率均达到100％</w:t>
            </w:r>
          </w:p>
        </w:tc>
        <w:tc>
          <w:tcPr>
            <w:tcW w:w="780" w:type="dxa"/>
            <w:noWrap w:val="0"/>
            <w:vAlign w:val="center"/>
          </w:tcPr>
          <w:p>
            <w:pPr>
              <w:spacing w:line="240" w:lineRule="atLeast"/>
              <w:ind w:right="240"/>
              <w:jc w:val="right"/>
              <w:rPr>
                <w:rFonts w:hint="eastAsia" w:ascii="仿宋_GB2312" w:hAnsi="华文楷体"/>
                <w:color w:val="000000"/>
                <w:sz w:val="24"/>
              </w:rPr>
            </w:pPr>
            <w:r>
              <w:rPr>
                <w:rFonts w:hint="eastAsia" w:ascii="仿宋_GB2312" w:hAnsi="华文楷体"/>
                <w:color w:val="000000"/>
                <w:sz w:val="24"/>
              </w:rPr>
              <w:t>6</w:t>
            </w:r>
          </w:p>
        </w:tc>
        <w:tc>
          <w:tcPr>
            <w:tcW w:w="1230" w:type="dxa"/>
            <w:noWrap w:val="0"/>
            <w:vAlign w:val="center"/>
          </w:tcPr>
          <w:p>
            <w:pPr>
              <w:spacing w:line="240" w:lineRule="atLeast"/>
              <w:ind w:right="240"/>
              <w:jc w:val="right"/>
              <w:rPr>
                <w:rFonts w:hint="eastAsia" w:ascii="仿宋_GB2312" w:hAnsi="华文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380" w:type="dxa"/>
            <w:gridSpan w:val="3"/>
            <w:noWrap w:val="0"/>
            <w:vAlign w:val="center"/>
          </w:tcPr>
          <w:p>
            <w:pPr>
              <w:rPr>
                <w:rFonts w:hint="eastAsia"/>
                <w:color w:val="000000"/>
              </w:rPr>
            </w:pPr>
            <w:r>
              <w:rPr>
                <w:rFonts w:hint="eastAsia"/>
                <w:color w:val="000000"/>
              </w:rPr>
              <w:t xml:space="preserve">                            </w:t>
            </w:r>
            <w:r>
              <w:rPr>
                <w:rFonts w:hint="eastAsia" w:ascii="黑体" w:hAnsi="黑体" w:eastAsia="黑体" w:cs="黑体"/>
                <w:b/>
                <w:bCs/>
                <w:color w:val="000000"/>
              </w:rPr>
              <w:t xml:space="preserve"> 总    评    分</w:t>
            </w:r>
          </w:p>
        </w:tc>
        <w:tc>
          <w:tcPr>
            <w:tcW w:w="780" w:type="dxa"/>
            <w:noWrap w:val="0"/>
            <w:vAlign w:val="center"/>
          </w:tcPr>
          <w:p>
            <w:pPr>
              <w:rPr>
                <w:rFonts w:hint="eastAsia"/>
                <w:color w:val="000000"/>
              </w:rPr>
            </w:pPr>
            <w:r>
              <w:rPr>
                <w:rFonts w:hint="eastAsia"/>
                <w:color w:val="000000"/>
              </w:rPr>
              <w:t xml:space="preserve">  100</w:t>
            </w:r>
          </w:p>
        </w:tc>
        <w:tc>
          <w:tcPr>
            <w:tcW w:w="1230" w:type="dxa"/>
            <w:noWrap w:val="0"/>
            <w:vAlign w:val="center"/>
          </w:tcPr>
          <w:p>
            <w:pPr>
              <w:spacing w:line="240" w:lineRule="atLeast"/>
              <w:ind w:right="240"/>
              <w:jc w:val="right"/>
              <w:rPr>
                <w:rFonts w:hint="eastAsia" w:ascii="仿宋_GB2312" w:hAnsi="华文楷体"/>
                <w:b/>
                <w:color w:val="000000"/>
                <w:sz w:val="24"/>
              </w:rPr>
            </w:pPr>
          </w:p>
        </w:tc>
      </w:tr>
    </w:tbl>
    <w:p>
      <w:pPr>
        <w:spacing w:line="240" w:lineRule="atLeast"/>
        <w:rPr>
          <w:rFonts w:hint="eastAsia" w:ascii="仿宋_GB2312" w:hAnsi="华文中宋"/>
          <w:b/>
          <w:color w:val="000000"/>
          <w:sz w:val="24"/>
        </w:rPr>
      </w:pPr>
      <w:r>
        <w:rPr>
          <w:rFonts w:hint="eastAsia" w:ascii="仿宋_GB2312" w:hAnsi="华文中宋"/>
          <w:b/>
          <w:color w:val="000000"/>
          <w:sz w:val="24"/>
        </w:rPr>
        <w:t xml:space="preserve">  </w:t>
      </w:r>
    </w:p>
    <w:p>
      <w:pPr>
        <w:spacing w:line="240" w:lineRule="atLeast"/>
        <w:rPr>
          <w:rFonts w:hint="eastAsia"/>
          <w:color w:val="000000"/>
        </w:rPr>
      </w:pPr>
      <w:r>
        <w:rPr>
          <w:rFonts w:hint="eastAsia" w:ascii="仿宋_GB2312" w:hAnsi="华文中宋"/>
          <w:b/>
          <w:color w:val="000000"/>
          <w:sz w:val="24"/>
        </w:rPr>
        <w:t xml:space="preserve">  说明：</w:t>
      </w:r>
      <w:r>
        <w:rPr>
          <w:rFonts w:hint="eastAsia"/>
          <w:color w:val="000000"/>
        </w:rPr>
        <w:t xml:space="preserve">总评分达90分以上的为验收合格，授予“平安农机”示范合作社称号。 </w:t>
      </w:r>
    </w:p>
    <w:p>
      <w:pPr>
        <w:spacing w:line="360" w:lineRule="auto"/>
        <w:ind w:firstLine="640"/>
        <w:jc w:val="center"/>
        <w:rPr>
          <w:rFonts w:hint="eastAsia" w:ascii="仿宋_GB2312" w:hAnsi="仿宋_GB2312" w:eastAsia="仿宋_GB2312" w:cs="仿宋_GB2312"/>
          <w:color w:val="000000"/>
          <w:sz w:val="32"/>
          <w:szCs w:val="32"/>
        </w:rPr>
      </w:pPr>
    </w:p>
    <w:p/>
    <w:sectPr>
      <w:footerReference r:id="rId3" w:type="default"/>
      <w:pgSz w:w="11906" w:h="16838"/>
      <w:pgMar w:top="1440" w:right="1803" w:bottom="1440" w:left="1803"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6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Pr>
                          </w:pPr>
                          <w:r>
                            <w:fldChar w:fldCharType="begin"/>
                          </w:r>
                          <w:r>
                            <w:rPr>
                              <w:rStyle w:val="5"/>
                            </w:rPr>
                            <w:instrText xml:space="preserve">PAGE  </w:instrText>
                          </w:r>
                          <w:r>
                            <w:fldChar w:fldCharType="separate"/>
                          </w:r>
                          <w:r>
                            <w:rPr>
                              <w:rStyle w:val="5"/>
                            </w:rP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414EB"/>
    <w:rsid w:val="17940755"/>
    <w:rsid w:val="6AE4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Table Paragraph"/>
    <w:basedOn w:val="1"/>
    <w:qFormat/>
    <w:uiPriority w:val="1"/>
    <w:pPr>
      <w:spacing w:line="720" w:lineRule="auto"/>
    </w:pPr>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2020-04-29T06:49:00Z</dcterms:created>
  <dc:creator>Mr司梦实</dc:creator>
  <cp:lastModifiedBy>Mr司梦实</cp:lastModifiedBy>
  <dcterms:modified xsi:type="dcterms:W3CDTF">2020-04-29T06:49:58Z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